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34F62" w14:textId="74C653A6" w:rsidR="001D5DE9" w:rsidRPr="004B72FD" w:rsidRDefault="00DD5EE7" w:rsidP="00CC0013">
      <w:pPr>
        <w:pStyle w:val="NoSpacing"/>
        <w:jc w:val="center"/>
        <w:rPr>
          <w:b/>
          <w:bCs/>
          <w:sz w:val="24"/>
          <w:szCs w:val="24"/>
        </w:rPr>
      </w:pPr>
      <w:r>
        <w:rPr>
          <w:b/>
          <w:bCs/>
          <w:sz w:val="24"/>
          <w:szCs w:val="24"/>
        </w:rPr>
        <w:t xml:space="preserve">Brandon Irene </w:t>
      </w:r>
      <w:r w:rsidR="00427728">
        <w:rPr>
          <w:b/>
          <w:bCs/>
          <w:sz w:val="24"/>
          <w:szCs w:val="24"/>
        </w:rPr>
        <w:t xml:space="preserve">WSC </w:t>
      </w:r>
      <w:r w:rsidR="00FE43E8">
        <w:rPr>
          <w:b/>
          <w:bCs/>
          <w:sz w:val="24"/>
          <w:szCs w:val="24"/>
        </w:rPr>
        <w:t>Bynum Hillsboro</w:t>
      </w:r>
      <w:r>
        <w:rPr>
          <w:b/>
          <w:bCs/>
          <w:sz w:val="24"/>
          <w:szCs w:val="24"/>
        </w:rPr>
        <w:t xml:space="preserve"> Water</w:t>
      </w:r>
      <w:r w:rsidR="001D5DE9" w:rsidRPr="004B72FD">
        <w:rPr>
          <w:b/>
          <w:bCs/>
          <w:sz w:val="24"/>
          <w:szCs w:val="24"/>
        </w:rPr>
        <w:t xml:space="preserve"> System</w:t>
      </w:r>
    </w:p>
    <w:p w14:paraId="22991FAC" w14:textId="44BFFF49" w:rsidR="005956B5" w:rsidRPr="004B72FD" w:rsidRDefault="0032425B" w:rsidP="004B72FD">
      <w:pPr>
        <w:pStyle w:val="NoSpacing"/>
        <w:jc w:val="center"/>
        <w:rPr>
          <w:b/>
          <w:bCs/>
          <w:sz w:val="24"/>
          <w:szCs w:val="24"/>
        </w:rPr>
      </w:pPr>
      <w:r w:rsidRPr="004B72FD">
        <w:rPr>
          <w:b/>
          <w:bCs/>
          <w:sz w:val="24"/>
          <w:szCs w:val="24"/>
        </w:rPr>
        <w:t>Energy Assessment</w:t>
      </w:r>
    </w:p>
    <w:p w14:paraId="6760BE62" w14:textId="47AA38CE" w:rsidR="0032425B" w:rsidRDefault="00CC0013" w:rsidP="004B72FD">
      <w:pPr>
        <w:pStyle w:val="NoSpacing"/>
        <w:jc w:val="center"/>
        <w:rPr>
          <w:b/>
          <w:bCs/>
          <w:sz w:val="24"/>
          <w:szCs w:val="24"/>
        </w:rPr>
      </w:pPr>
      <w:r>
        <w:rPr>
          <w:b/>
          <w:bCs/>
          <w:sz w:val="24"/>
          <w:szCs w:val="24"/>
        </w:rPr>
        <w:t>May</w:t>
      </w:r>
      <w:r w:rsidR="00146CD5" w:rsidRPr="004B72FD">
        <w:rPr>
          <w:b/>
          <w:bCs/>
          <w:sz w:val="24"/>
          <w:szCs w:val="24"/>
        </w:rPr>
        <w:t xml:space="preserve"> 202</w:t>
      </w:r>
      <w:r w:rsidR="00326F3C">
        <w:rPr>
          <w:b/>
          <w:bCs/>
          <w:sz w:val="24"/>
          <w:szCs w:val="24"/>
        </w:rPr>
        <w:t>5</w:t>
      </w:r>
    </w:p>
    <w:p w14:paraId="683A07FB" w14:textId="77777777" w:rsidR="00326F3C" w:rsidRPr="00CE01D3" w:rsidRDefault="00326F3C" w:rsidP="004B72FD">
      <w:pPr>
        <w:pStyle w:val="NoSpacing"/>
        <w:jc w:val="center"/>
      </w:pPr>
    </w:p>
    <w:p w14:paraId="4973FD56" w14:textId="275DBD89" w:rsidR="002E0F5D" w:rsidRPr="008138A9" w:rsidRDefault="00C26E80" w:rsidP="00CE01D3">
      <w:pPr>
        <w:pStyle w:val="NoSpacing"/>
        <w:rPr>
          <w:b/>
        </w:rPr>
      </w:pPr>
      <w:r w:rsidRPr="008138A9">
        <w:rPr>
          <w:b/>
        </w:rPr>
        <w:t>Energy Efficiency</w:t>
      </w:r>
      <w:r w:rsidR="0032425B" w:rsidRPr="008138A9">
        <w:rPr>
          <w:b/>
        </w:rPr>
        <w:t xml:space="preserve"> </w:t>
      </w:r>
      <w:r w:rsidR="0010391C" w:rsidRPr="008138A9">
        <w:rPr>
          <w:b/>
        </w:rPr>
        <w:t xml:space="preserve">Program </w:t>
      </w:r>
      <w:r w:rsidR="0032425B" w:rsidRPr="008138A9">
        <w:rPr>
          <w:b/>
        </w:rPr>
        <w:t>Overview</w:t>
      </w:r>
      <w:r w:rsidR="002543C7" w:rsidRPr="008138A9">
        <w:rPr>
          <w:b/>
        </w:rPr>
        <w:t>:</w:t>
      </w:r>
    </w:p>
    <w:p w14:paraId="0EBF6EA1" w14:textId="7964B417" w:rsidR="00326F3C" w:rsidRPr="00217F3C" w:rsidRDefault="00067E9E" w:rsidP="00A6534B">
      <w:pPr>
        <w:pStyle w:val="NoSpacing"/>
        <w:rPr>
          <w:sz w:val="20"/>
          <w:szCs w:val="20"/>
        </w:rPr>
      </w:pPr>
      <w:r w:rsidRPr="006E063F">
        <w:rPr>
          <w:sz w:val="20"/>
          <w:szCs w:val="20"/>
        </w:rPr>
        <w:t>The Texas Rural Water Association</w:t>
      </w:r>
      <w:r w:rsidR="00B7404E" w:rsidRPr="006E063F">
        <w:rPr>
          <w:sz w:val="20"/>
          <w:szCs w:val="20"/>
        </w:rPr>
        <w:t xml:space="preserve"> has implemented a program to assist water and wastewater utility systems to evaluate and lower their energy consumption and costs</w:t>
      </w:r>
      <w:r w:rsidR="00192BE3" w:rsidRPr="006E063F">
        <w:rPr>
          <w:sz w:val="20"/>
          <w:szCs w:val="20"/>
        </w:rPr>
        <w:t xml:space="preserve">. </w:t>
      </w:r>
      <w:r w:rsidR="00B7404E" w:rsidRPr="006E063F">
        <w:rPr>
          <w:sz w:val="20"/>
          <w:szCs w:val="20"/>
        </w:rPr>
        <w:t xml:space="preserve">This energy efficiency assessment considers current and past energy </w:t>
      </w:r>
      <w:r w:rsidR="00A13262" w:rsidRPr="006E063F">
        <w:rPr>
          <w:sz w:val="20"/>
          <w:szCs w:val="20"/>
        </w:rPr>
        <w:t>use, identifies the primary energy consuming components, and identifies methods to lower energy use and costs.</w:t>
      </w:r>
    </w:p>
    <w:p w14:paraId="57FBB229" w14:textId="10FAB256" w:rsidR="002E0F5D" w:rsidRPr="008138A9" w:rsidRDefault="00C70C9C" w:rsidP="00C70C9C">
      <w:pPr>
        <w:pStyle w:val="NoSpacing"/>
        <w:rPr>
          <w:b/>
        </w:rPr>
      </w:pPr>
      <w:r w:rsidRPr="008138A9">
        <w:rPr>
          <w:b/>
        </w:rPr>
        <w:t>Executive Summary of Potential Energy/Money Savings:</w:t>
      </w:r>
    </w:p>
    <w:p w14:paraId="601354D7" w14:textId="7C984A3B" w:rsidR="00326F3C" w:rsidRPr="001364B0" w:rsidRDefault="00C70C9C" w:rsidP="00C70C9C">
      <w:pPr>
        <w:pStyle w:val="NoSpacing"/>
        <w:rPr>
          <w:sz w:val="20"/>
          <w:szCs w:val="20"/>
        </w:rPr>
      </w:pPr>
      <w:r w:rsidRPr="006E063F">
        <w:rPr>
          <w:sz w:val="20"/>
          <w:szCs w:val="20"/>
        </w:rPr>
        <w:t>This Executive Summary provides the estimated cost of upgrades, potential annual energy/money savings, payback period, return on investment, and rebates:</w:t>
      </w:r>
    </w:p>
    <w:p w14:paraId="00A0E0A5" w14:textId="77E5C870" w:rsidR="00326F3C" w:rsidRPr="00217F3C" w:rsidRDefault="00427728" w:rsidP="00C70C9C">
      <w:pPr>
        <w:pStyle w:val="NoSpacing"/>
        <w:rPr>
          <w:sz w:val="20"/>
          <w:szCs w:val="20"/>
        </w:rPr>
      </w:pPr>
      <w:r w:rsidRPr="00427728">
        <w:rPr>
          <w:noProof/>
        </w:rPr>
        <w:drawing>
          <wp:inline distT="0" distB="0" distL="0" distR="0" wp14:anchorId="56F0740A" wp14:editId="62934E25">
            <wp:extent cx="5943600" cy="1332865"/>
            <wp:effectExtent l="0" t="0" r="0" b="635"/>
            <wp:docPr id="631786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32865"/>
                    </a:xfrm>
                    <a:prstGeom prst="rect">
                      <a:avLst/>
                    </a:prstGeom>
                    <a:noFill/>
                    <a:ln>
                      <a:noFill/>
                    </a:ln>
                  </pic:spPr>
                </pic:pic>
              </a:graphicData>
            </a:graphic>
          </wp:inline>
        </w:drawing>
      </w:r>
    </w:p>
    <w:p w14:paraId="0D75D142" w14:textId="3EE3597C" w:rsidR="002E0F5D" w:rsidRPr="008138A9" w:rsidRDefault="00C70C9C" w:rsidP="00C70C9C">
      <w:pPr>
        <w:pStyle w:val="NoSpacing"/>
        <w:rPr>
          <w:b/>
        </w:rPr>
      </w:pPr>
      <w:r w:rsidRPr="008138A9">
        <w:rPr>
          <w:b/>
        </w:rPr>
        <w:t>Project Overview:</w:t>
      </w:r>
    </w:p>
    <w:p w14:paraId="78505705" w14:textId="680C95C9" w:rsidR="002E0F5D" w:rsidRDefault="00326F3C" w:rsidP="00C70C9C">
      <w:pPr>
        <w:pStyle w:val="NoSpacing"/>
        <w:rPr>
          <w:sz w:val="20"/>
          <w:szCs w:val="20"/>
        </w:rPr>
      </w:pPr>
      <w:r w:rsidRPr="00326F3C">
        <w:rPr>
          <w:sz w:val="20"/>
          <w:szCs w:val="20"/>
        </w:rPr>
        <w:t xml:space="preserve">The </w:t>
      </w:r>
      <w:r w:rsidR="00FE43E8">
        <w:rPr>
          <w:sz w:val="20"/>
          <w:szCs w:val="20"/>
        </w:rPr>
        <w:t xml:space="preserve">Brandon Irene WSC Bynum Hillsboro Water System serves the </w:t>
      </w:r>
      <w:r w:rsidR="00DD5EE7">
        <w:rPr>
          <w:sz w:val="20"/>
          <w:szCs w:val="20"/>
        </w:rPr>
        <w:t>unincorporated community</w:t>
      </w:r>
      <w:r w:rsidRPr="00326F3C">
        <w:rPr>
          <w:sz w:val="20"/>
          <w:szCs w:val="20"/>
        </w:rPr>
        <w:t xml:space="preserve"> located</w:t>
      </w:r>
      <w:r w:rsidR="00F50DB8">
        <w:rPr>
          <w:sz w:val="20"/>
          <w:szCs w:val="20"/>
        </w:rPr>
        <w:t xml:space="preserve"> </w:t>
      </w:r>
      <w:r w:rsidR="00D87203">
        <w:rPr>
          <w:sz w:val="20"/>
          <w:szCs w:val="20"/>
        </w:rPr>
        <w:t xml:space="preserve">approximately </w:t>
      </w:r>
      <w:r w:rsidR="00FE43E8">
        <w:rPr>
          <w:sz w:val="20"/>
          <w:szCs w:val="20"/>
        </w:rPr>
        <w:t>8</w:t>
      </w:r>
      <w:r w:rsidR="00D87203">
        <w:rPr>
          <w:sz w:val="20"/>
          <w:szCs w:val="20"/>
        </w:rPr>
        <w:t xml:space="preserve"> miles southeast</w:t>
      </w:r>
      <w:r w:rsidR="00F50DB8">
        <w:rPr>
          <w:sz w:val="20"/>
          <w:szCs w:val="20"/>
        </w:rPr>
        <w:t xml:space="preserve"> of the city of Hillsboro,</w:t>
      </w:r>
      <w:r w:rsidRPr="00326F3C">
        <w:rPr>
          <w:sz w:val="20"/>
          <w:szCs w:val="20"/>
        </w:rPr>
        <w:t xml:space="preserve"> in Hill County. According to the USDA Economic Research Service data dated June 16, 2023, the Median Household Income (MHI) for Hill County Texas was $52,495.00, which is 78.4% of the $66,959.00 MHI for the state of Texas. The </w:t>
      </w:r>
      <w:r w:rsidR="00DD5EE7">
        <w:rPr>
          <w:sz w:val="20"/>
          <w:szCs w:val="20"/>
        </w:rPr>
        <w:t xml:space="preserve">Brandon Irene WSC </w:t>
      </w:r>
      <w:r w:rsidR="00FE43E8">
        <w:rPr>
          <w:sz w:val="20"/>
          <w:szCs w:val="20"/>
        </w:rPr>
        <w:t>Bynum Hillsboro</w:t>
      </w:r>
      <w:r w:rsidR="00DD5EE7">
        <w:rPr>
          <w:sz w:val="20"/>
          <w:szCs w:val="20"/>
        </w:rPr>
        <w:t xml:space="preserve"> Water</w:t>
      </w:r>
      <w:r w:rsidRPr="00326F3C">
        <w:rPr>
          <w:sz w:val="20"/>
          <w:szCs w:val="20"/>
        </w:rPr>
        <w:t xml:space="preserve"> System serves an estimated population of </w:t>
      </w:r>
      <w:r w:rsidR="00D87203">
        <w:rPr>
          <w:sz w:val="20"/>
          <w:szCs w:val="20"/>
        </w:rPr>
        <w:t>1,878</w:t>
      </w:r>
      <w:r w:rsidRPr="00326F3C">
        <w:rPr>
          <w:sz w:val="20"/>
          <w:szCs w:val="20"/>
        </w:rPr>
        <w:t xml:space="preserve">, with approximately </w:t>
      </w:r>
      <w:r w:rsidR="00D87203">
        <w:rPr>
          <w:sz w:val="20"/>
          <w:szCs w:val="20"/>
        </w:rPr>
        <w:t>626</w:t>
      </w:r>
      <w:r w:rsidRPr="00326F3C">
        <w:rPr>
          <w:sz w:val="20"/>
          <w:szCs w:val="20"/>
        </w:rPr>
        <w:t xml:space="preserve"> connections</w:t>
      </w:r>
      <w:r w:rsidR="00192BE3" w:rsidRPr="00C9272B">
        <w:rPr>
          <w:sz w:val="20"/>
          <w:szCs w:val="20"/>
        </w:rPr>
        <w:t xml:space="preserve">. </w:t>
      </w:r>
    </w:p>
    <w:p w14:paraId="28C7ACFB" w14:textId="3E1B648C" w:rsidR="002E0F5D" w:rsidRDefault="00146CD5" w:rsidP="00C70C9C">
      <w:pPr>
        <w:pStyle w:val="NoSpacing"/>
        <w:rPr>
          <w:sz w:val="20"/>
          <w:szCs w:val="20"/>
        </w:rPr>
      </w:pPr>
      <w:r w:rsidRPr="00146CD5">
        <w:rPr>
          <w:sz w:val="20"/>
          <w:szCs w:val="20"/>
        </w:rPr>
        <w:t xml:space="preserve">The Water System facilities included in this assessment consist of </w:t>
      </w:r>
      <w:r w:rsidR="001257BC">
        <w:rPr>
          <w:sz w:val="20"/>
          <w:szCs w:val="20"/>
        </w:rPr>
        <w:t>one</w:t>
      </w:r>
      <w:r w:rsidRPr="00146CD5">
        <w:rPr>
          <w:sz w:val="20"/>
          <w:szCs w:val="20"/>
        </w:rPr>
        <w:t xml:space="preserve"> water treatment and distribution facilit</w:t>
      </w:r>
      <w:r w:rsidR="001257BC">
        <w:rPr>
          <w:sz w:val="20"/>
          <w:szCs w:val="20"/>
        </w:rPr>
        <w:t>y</w:t>
      </w:r>
      <w:r w:rsidR="00C9272B">
        <w:rPr>
          <w:sz w:val="20"/>
          <w:szCs w:val="20"/>
        </w:rPr>
        <w:t xml:space="preserve"> utilizing </w:t>
      </w:r>
      <w:r w:rsidR="007E622C">
        <w:rPr>
          <w:sz w:val="20"/>
          <w:szCs w:val="20"/>
        </w:rPr>
        <w:t>hydropneumatic tanks,</w:t>
      </w:r>
      <w:r w:rsidR="00C9272B">
        <w:rPr>
          <w:sz w:val="20"/>
          <w:szCs w:val="20"/>
        </w:rPr>
        <w:t xml:space="preserve"> with</w:t>
      </w:r>
      <w:r w:rsidRPr="00146CD5">
        <w:rPr>
          <w:sz w:val="20"/>
          <w:szCs w:val="20"/>
        </w:rPr>
        <w:t xml:space="preserve"> one on-site groundwater production well</w:t>
      </w:r>
      <w:bookmarkStart w:id="0" w:name="_Hlk165275079"/>
      <w:r w:rsidR="00D87203">
        <w:rPr>
          <w:sz w:val="20"/>
          <w:szCs w:val="20"/>
        </w:rPr>
        <w:t>, and one elevated storage tank facility with one on-site groundwater production well.</w:t>
      </w:r>
    </w:p>
    <w:p w14:paraId="694D3776" w14:textId="695DDCB9" w:rsidR="00146CD5" w:rsidRDefault="00146CD5" w:rsidP="00C70C9C">
      <w:pPr>
        <w:pStyle w:val="NoSpacing"/>
        <w:rPr>
          <w:sz w:val="20"/>
          <w:szCs w:val="20"/>
        </w:rPr>
      </w:pPr>
      <w:r w:rsidRPr="00146CD5">
        <w:rPr>
          <w:sz w:val="20"/>
          <w:szCs w:val="20"/>
        </w:rPr>
        <w:t>This system’s facilities are in compliance with the Texas Commission On Environmental Quality (TCEQ) Emergency Preparedness Plan (EPP) and Section 13.1394 of the Texas Water Code, which requires all affected utilities (water systems that have residential customers or provide overnight accommodations to customers) to provide water service with a minimum of 20 psi during an extended power outage lasting 24 hours or more.</w:t>
      </w:r>
      <w:bookmarkEnd w:id="0"/>
    </w:p>
    <w:p w14:paraId="4AE326D8" w14:textId="089BDC2C" w:rsidR="002E0F5D" w:rsidRPr="008138A9" w:rsidRDefault="00C70C9C" w:rsidP="00C70C9C">
      <w:pPr>
        <w:pStyle w:val="NoSpacing"/>
        <w:rPr>
          <w:b/>
        </w:rPr>
      </w:pPr>
      <w:r w:rsidRPr="008138A9">
        <w:rPr>
          <w:b/>
        </w:rPr>
        <w:t>Energy Efficiency Observations/Opportunities:</w:t>
      </w:r>
    </w:p>
    <w:p w14:paraId="5943F78B" w14:textId="231F1B46" w:rsidR="00326F3C" w:rsidRPr="00146CD5" w:rsidRDefault="00DD5EE7" w:rsidP="00C70C9C">
      <w:pPr>
        <w:pStyle w:val="NoSpacing"/>
        <w:rPr>
          <w:sz w:val="20"/>
          <w:szCs w:val="20"/>
        </w:rPr>
      </w:pPr>
      <w:r>
        <w:rPr>
          <w:sz w:val="20"/>
          <w:szCs w:val="20"/>
        </w:rPr>
        <w:t xml:space="preserve">Brandon Irene WSC </w:t>
      </w:r>
      <w:r w:rsidR="00FE43E8">
        <w:rPr>
          <w:sz w:val="20"/>
          <w:szCs w:val="20"/>
        </w:rPr>
        <w:t>Bynum Hillsboro</w:t>
      </w:r>
      <w:r>
        <w:rPr>
          <w:sz w:val="20"/>
          <w:szCs w:val="20"/>
        </w:rPr>
        <w:t xml:space="preserve"> Water</w:t>
      </w:r>
      <w:r w:rsidR="00C9272B" w:rsidRPr="006E063F">
        <w:rPr>
          <w:sz w:val="20"/>
          <w:szCs w:val="20"/>
        </w:rPr>
        <w:t xml:space="preserve"> System’s</w:t>
      </w:r>
      <w:r w:rsidR="00C70C9C" w:rsidRPr="006E063F">
        <w:rPr>
          <w:sz w:val="20"/>
          <w:szCs w:val="20"/>
        </w:rPr>
        <w:t xml:space="preserve"> chief electrical energy consuming devices are as follows:</w:t>
      </w:r>
    </w:p>
    <w:p w14:paraId="01E7C52B" w14:textId="6FAB463F" w:rsidR="00326F3C" w:rsidRPr="0038430C" w:rsidRDefault="00D87203" w:rsidP="00C70C9C">
      <w:pPr>
        <w:pStyle w:val="NoSpacing"/>
        <w:rPr>
          <w:b/>
        </w:rPr>
      </w:pPr>
      <w:bookmarkStart w:id="1" w:name="_Hlk177631516"/>
      <w:r>
        <w:rPr>
          <w:b/>
        </w:rPr>
        <w:t>Plant 4</w:t>
      </w:r>
      <w:r w:rsidR="00C70C9C" w:rsidRPr="00A6534B">
        <w:rPr>
          <w:b/>
        </w:rPr>
        <w:t>:</w:t>
      </w:r>
    </w:p>
    <w:p w14:paraId="4A26F395" w14:textId="1252FB4F" w:rsidR="001257BC" w:rsidRPr="00137B8B" w:rsidRDefault="00137B8B" w:rsidP="001257BC">
      <w:pPr>
        <w:pStyle w:val="NoSpacing"/>
        <w:rPr>
          <w:b/>
        </w:rPr>
      </w:pPr>
      <w:bookmarkStart w:id="2" w:name="_Hlk177631767"/>
      <w:r w:rsidRPr="00137B8B">
        <w:rPr>
          <w:b/>
        </w:rPr>
        <w:t xml:space="preserve">Distribution Pump Motors: </w:t>
      </w:r>
    </w:p>
    <w:p w14:paraId="6324F794" w14:textId="038A3DA5" w:rsidR="00137B8B" w:rsidRDefault="00D87203" w:rsidP="00137B8B">
      <w:pPr>
        <w:pStyle w:val="NoSpacing"/>
        <w:numPr>
          <w:ilvl w:val="0"/>
          <w:numId w:val="25"/>
        </w:numPr>
        <w:rPr>
          <w:sz w:val="20"/>
          <w:szCs w:val="20"/>
        </w:rPr>
      </w:pPr>
      <w:bookmarkStart w:id="3" w:name="_Hlk529179760"/>
      <w:bookmarkEnd w:id="1"/>
      <w:bookmarkEnd w:id="2"/>
      <w:r>
        <w:rPr>
          <w:sz w:val="20"/>
          <w:szCs w:val="20"/>
        </w:rPr>
        <w:t>One</w:t>
      </w:r>
      <w:r w:rsidR="00137B8B">
        <w:rPr>
          <w:sz w:val="20"/>
          <w:szCs w:val="20"/>
        </w:rPr>
        <w:t xml:space="preserve"> Baldor</w:t>
      </w:r>
      <w:r w:rsidR="00137B8B" w:rsidRPr="006E063F">
        <w:rPr>
          <w:sz w:val="20"/>
          <w:szCs w:val="20"/>
        </w:rPr>
        <w:t xml:space="preserve"> </w:t>
      </w:r>
      <w:r>
        <w:rPr>
          <w:sz w:val="20"/>
          <w:szCs w:val="20"/>
        </w:rPr>
        <w:t>15</w:t>
      </w:r>
      <w:r w:rsidR="00137B8B">
        <w:rPr>
          <w:sz w:val="20"/>
          <w:szCs w:val="20"/>
        </w:rPr>
        <w:t xml:space="preserve"> Hp 460 volt </w:t>
      </w:r>
      <w:r>
        <w:rPr>
          <w:sz w:val="20"/>
          <w:szCs w:val="20"/>
        </w:rPr>
        <w:t>17.7</w:t>
      </w:r>
      <w:r w:rsidR="00137B8B">
        <w:rPr>
          <w:sz w:val="20"/>
          <w:szCs w:val="20"/>
        </w:rPr>
        <w:t xml:space="preserve"> amp</w:t>
      </w:r>
      <w:r w:rsidR="00137B8B" w:rsidRPr="006E063F">
        <w:rPr>
          <w:sz w:val="20"/>
          <w:szCs w:val="20"/>
        </w:rPr>
        <w:t xml:space="preserve"> motor with an efficiency rating of </w:t>
      </w:r>
      <w:r w:rsidR="00137B8B">
        <w:rPr>
          <w:sz w:val="20"/>
          <w:szCs w:val="20"/>
        </w:rPr>
        <w:t>9</w:t>
      </w:r>
      <w:r>
        <w:rPr>
          <w:sz w:val="20"/>
          <w:szCs w:val="20"/>
        </w:rPr>
        <w:t>0.2</w:t>
      </w:r>
      <w:bookmarkEnd w:id="3"/>
      <w:r w:rsidR="00A7764A" w:rsidRPr="006E063F">
        <w:rPr>
          <w:sz w:val="20"/>
          <w:szCs w:val="20"/>
        </w:rPr>
        <w:t>%.</w:t>
      </w:r>
      <w:r w:rsidR="00A7764A">
        <w:rPr>
          <w:b/>
          <w:bCs/>
          <w:sz w:val="20"/>
          <w:szCs w:val="20"/>
        </w:rPr>
        <w:t xml:space="preserve"> *</w:t>
      </w:r>
    </w:p>
    <w:p w14:paraId="49BABA2F" w14:textId="2F057FA3" w:rsidR="00D87203" w:rsidRDefault="00D87203" w:rsidP="00137B8B">
      <w:pPr>
        <w:pStyle w:val="NoSpacing"/>
        <w:numPr>
          <w:ilvl w:val="0"/>
          <w:numId w:val="25"/>
        </w:numPr>
        <w:rPr>
          <w:sz w:val="20"/>
          <w:szCs w:val="20"/>
        </w:rPr>
      </w:pPr>
      <w:r>
        <w:rPr>
          <w:sz w:val="20"/>
          <w:szCs w:val="20"/>
        </w:rPr>
        <w:t>One General Electric 15 Hp 460 volt 17.5 amp motor with an efficiency rating of 90.0</w:t>
      </w:r>
      <w:r w:rsidR="00A7764A">
        <w:rPr>
          <w:sz w:val="20"/>
          <w:szCs w:val="20"/>
        </w:rPr>
        <w:t>%.</w:t>
      </w:r>
      <w:r w:rsidR="00A7764A">
        <w:rPr>
          <w:b/>
          <w:bCs/>
          <w:sz w:val="20"/>
          <w:szCs w:val="20"/>
        </w:rPr>
        <w:t xml:space="preserve"> *</w:t>
      </w:r>
    </w:p>
    <w:p w14:paraId="66086C42" w14:textId="77777777" w:rsidR="00137B8B" w:rsidRPr="00C9272B" w:rsidRDefault="00137B8B" w:rsidP="00137B8B">
      <w:pPr>
        <w:pStyle w:val="NoSpacing"/>
      </w:pPr>
      <w:r>
        <w:rPr>
          <w:b/>
        </w:rPr>
        <w:t xml:space="preserve">On-site </w:t>
      </w:r>
      <w:r w:rsidRPr="00A6534B">
        <w:rPr>
          <w:b/>
        </w:rPr>
        <w:t>Well Pump Motors:</w:t>
      </w:r>
    </w:p>
    <w:p w14:paraId="73C4A062" w14:textId="2E751230" w:rsidR="00137B8B" w:rsidRDefault="00137B8B" w:rsidP="00137B8B">
      <w:pPr>
        <w:pStyle w:val="NoSpacing"/>
        <w:numPr>
          <w:ilvl w:val="0"/>
          <w:numId w:val="41"/>
        </w:numPr>
        <w:rPr>
          <w:sz w:val="20"/>
          <w:szCs w:val="20"/>
        </w:rPr>
      </w:pPr>
      <w:r w:rsidRPr="006E063F">
        <w:rPr>
          <w:sz w:val="20"/>
          <w:szCs w:val="20"/>
        </w:rPr>
        <w:t>Well No.</w:t>
      </w:r>
      <w:r w:rsidR="00D87203">
        <w:rPr>
          <w:sz w:val="20"/>
          <w:szCs w:val="20"/>
        </w:rPr>
        <w:t>4</w:t>
      </w:r>
      <w:r w:rsidRPr="006E063F">
        <w:rPr>
          <w:sz w:val="20"/>
          <w:szCs w:val="20"/>
        </w:rPr>
        <w:t>: Well No.</w:t>
      </w:r>
      <w:r w:rsidR="00D87203">
        <w:rPr>
          <w:sz w:val="20"/>
          <w:szCs w:val="20"/>
        </w:rPr>
        <w:t xml:space="preserve"> 4</w:t>
      </w:r>
      <w:r w:rsidRPr="006E063F">
        <w:rPr>
          <w:sz w:val="20"/>
          <w:szCs w:val="20"/>
        </w:rPr>
        <w:t xml:space="preserve"> is powered by a </w:t>
      </w:r>
      <w:r w:rsidR="00D87203">
        <w:rPr>
          <w:sz w:val="20"/>
          <w:szCs w:val="20"/>
        </w:rPr>
        <w:t>75</w:t>
      </w:r>
      <w:r>
        <w:rPr>
          <w:sz w:val="20"/>
          <w:szCs w:val="20"/>
        </w:rPr>
        <w:t xml:space="preserve">.0 </w:t>
      </w:r>
      <w:r w:rsidRPr="006E063F">
        <w:rPr>
          <w:sz w:val="20"/>
          <w:szCs w:val="20"/>
        </w:rPr>
        <w:t>hp</w:t>
      </w:r>
      <w:r>
        <w:rPr>
          <w:sz w:val="20"/>
          <w:szCs w:val="20"/>
        </w:rPr>
        <w:t xml:space="preserve"> 460-volt </w:t>
      </w:r>
      <w:r w:rsidR="00D87203">
        <w:rPr>
          <w:sz w:val="20"/>
          <w:szCs w:val="20"/>
        </w:rPr>
        <w:t>94.0</w:t>
      </w:r>
      <w:r>
        <w:rPr>
          <w:sz w:val="20"/>
          <w:szCs w:val="20"/>
        </w:rPr>
        <w:t>-amp</w:t>
      </w:r>
      <w:r w:rsidRPr="006E063F">
        <w:rPr>
          <w:sz w:val="20"/>
          <w:szCs w:val="20"/>
        </w:rPr>
        <w:t xml:space="preserve"> Franklin submersible motor with an efficiency rating of </w:t>
      </w:r>
      <w:r>
        <w:rPr>
          <w:sz w:val="20"/>
          <w:szCs w:val="20"/>
        </w:rPr>
        <w:t>8</w:t>
      </w:r>
      <w:r w:rsidR="00D87203">
        <w:rPr>
          <w:sz w:val="20"/>
          <w:szCs w:val="20"/>
        </w:rPr>
        <w:t>8</w:t>
      </w:r>
      <w:r>
        <w:rPr>
          <w:sz w:val="20"/>
          <w:szCs w:val="20"/>
        </w:rPr>
        <w:t>.0</w:t>
      </w:r>
      <w:r w:rsidR="00A7764A" w:rsidRPr="006E063F">
        <w:rPr>
          <w:sz w:val="20"/>
          <w:szCs w:val="20"/>
        </w:rPr>
        <w:t>%.</w:t>
      </w:r>
      <w:r w:rsidR="00A7764A">
        <w:rPr>
          <w:b/>
          <w:bCs/>
          <w:sz w:val="20"/>
          <w:szCs w:val="20"/>
        </w:rPr>
        <w:t xml:space="preserve"> *</w:t>
      </w:r>
    </w:p>
    <w:p w14:paraId="54AC5C88" w14:textId="69121FBB" w:rsidR="00A7764A" w:rsidRPr="00A7764A" w:rsidRDefault="00A7764A" w:rsidP="00A7764A">
      <w:pPr>
        <w:pStyle w:val="NoSpacing"/>
        <w:rPr>
          <w:b/>
          <w:bCs/>
          <w:sz w:val="20"/>
          <w:szCs w:val="20"/>
        </w:rPr>
      </w:pPr>
      <w:bookmarkStart w:id="4" w:name="_Hlk197505366"/>
      <w:r w:rsidRPr="00A7764A">
        <w:rPr>
          <w:b/>
          <w:bCs/>
          <w:sz w:val="20"/>
          <w:szCs w:val="20"/>
        </w:rPr>
        <w:t>* All pump motors at this facility are equipped with VFD controllers. However, these devices have not been configured for optimal energy savings.</w:t>
      </w:r>
    </w:p>
    <w:bookmarkEnd w:id="4"/>
    <w:p w14:paraId="621E7B57" w14:textId="1F40DA91" w:rsidR="00D87203" w:rsidRPr="0038430C" w:rsidRDefault="00D87203" w:rsidP="00D87203">
      <w:pPr>
        <w:pStyle w:val="NoSpacing"/>
        <w:rPr>
          <w:b/>
        </w:rPr>
      </w:pPr>
      <w:r>
        <w:rPr>
          <w:b/>
        </w:rPr>
        <w:t>Plant 5</w:t>
      </w:r>
      <w:r w:rsidRPr="00A6534B">
        <w:rPr>
          <w:b/>
        </w:rPr>
        <w:t>:</w:t>
      </w:r>
    </w:p>
    <w:p w14:paraId="73B17407" w14:textId="77777777" w:rsidR="00D87203" w:rsidRPr="00C9272B" w:rsidRDefault="00D87203" w:rsidP="00D87203">
      <w:pPr>
        <w:pStyle w:val="NoSpacing"/>
      </w:pPr>
      <w:r>
        <w:rPr>
          <w:b/>
        </w:rPr>
        <w:t xml:space="preserve">On-site </w:t>
      </w:r>
      <w:r w:rsidRPr="00A6534B">
        <w:rPr>
          <w:b/>
        </w:rPr>
        <w:t>Well Pump Motors:</w:t>
      </w:r>
    </w:p>
    <w:p w14:paraId="79BD2235" w14:textId="6C022EED" w:rsidR="00D87203" w:rsidRDefault="00D87203" w:rsidP="00D87203">
      <w:pPr>
        <w:pStyle w:val="NoSpacing"/>
        <w:numPr>
          <w:ilvl w:val="0"/>
          <w:numId w:val="45"/>
        </w:numPr>
        <w:rPr>
          <w:sz w:val="20"/>
          <w:szCs w:val="20"/>
        </w:rPr>
      </w:pPr>
      <w:r w:rsidRPr="006E063F">
        <w:rPr>
          <w:sz w:val="20"/>
          <w:szCs w:val="20"/>
        </w:rPr>
        <w:t>Well No.</w:t>
      </w:r>
      <w:r>
        <w:rPr>
          <w:sz w:val="20"/>
          <w:szCs w:val="20"/>
        </w:rPr>
        <w:t>5</w:t>
      </w:r>
      <w:r w:rsidRPr="006E063F">
        <w:rPr>
          <w:sz w:val="20"/>
          <w:szCs w:val="20"/>
        </w:rPr>
        <w:t>: Well No.</w:t>
      </w:r>
      <w:r>
        <w:rPr>
          <w:sz w:val="20"/>
          <w:szCs w:val="20"/>
        </w:rPr>
        <w:t xml:space="preserve"> 5</w:t>
      </w:r>
      <w:r w:rsidRPr="006E063F">
        <w:rPr>
          <w:sz w:val="20"/>
          <w:szCs w:val="20"/>
        </w:rPr>
        <w:t xml:space="preserve"> is powered by a </w:t>
      </w:r>
      <w:r>
        <w:rPr>
          <w:sz w:val="20"/>
          <w:szCs w:val="20"/>
        </w:rPr>
        <w:t xml:space="preserve">100.0 </w:t>
      </w:r>
      <w:r w:rsidRPr="006E063F">
        <w:rPr>
          <w:sz w:val="20"/>
          <w:szCs w:val="20"/>
        </w:rPr>
        <w:t>hp</w:t>
      </w:r>
      <w:r>
        <w:rPr>
          <w:sz w:val="20"/>
          <w:szCs w:val="20"/>
        </w:rPr>
        <w:t xml:space="preserve"> 460-volt 126.0-amp</w:t>
      </w:r>
      <w:r w:rsidRPr="006E063F">
        <w:rPr>
          <w:sz w:val="20"/>
          <w:szCs w:val="20"/>
        </w:rPr>
        <w:t xml:space="preserve"> Franklin submersible motor with an efficiency rating of </w:t>
      </w:r>
      <w:r>
        <w:rPr>
          <w:sz w:val="20"/>
          <w:szCs w:val="20"/>
        </w:rPr>
        <w:t>89.0</w:t>
      </w:r>
      <w:r w:rsidR="00A7764A" w:rsidRPr="006E063F">
        <w:rPr>
          <w:sz w:val="20"/>
          <w:szCs w:val="20"/>
        </w:rPr>
        <w:t>%.</w:t>
      </w:r>
      <w:r w:rsidR="00A7764A">
        <w:rPr>
          <w:b/>
          <w:bCs/>
          <w:sz w:val="20"/>
          <w:szCs w:val="20"/>
        </w:rPr>
        <w:t xml:space="preserve"> *</w:t>
      </w:r>
    </w:p>
    <w:p w14:paraId="0A1F4495" w14:textId="43B2D6B3" w:rsidR="00D87203" w:rsidRPr="00CC0013" w:rsidRDefault="00A7764A" w:rsidP="00D87203">
      <w:pPr>
        <w:pStyle w:val="NoSpacing"/>
        <w:rPr>
          <w:b/>
          <w:bCs/>
          <w:sz w:val="20"/>
          <w:szCs w:val="20"/>
        </w:rPr>
      </w:pPr>
      <w:r w:rsidRPr="00A7764A">
        <w:rPr>
          <w:b/>
          <w:bCs/>
          <w:sz w:val="20"/>
          <w:szCs w:val="20"/>
        </w:rPr>
        <w:t>* All pump motors at this facility are equipped with VFD controllers. However, these devices have not been configured for optimal energy savings.</w:t>
      </w:r>
    </w:p>
    <w:p w14:paraId="0A679060" w14:textId="3597AE9E" w:rsidR="002E0F5D" w:rsidRPr="00146CD5" w:rsidRDefault="00C70C9C" w:rsidP="00146CD5">
      <w:pPr>
        <w:pStyle w:val="NoSpacing"/>
        <w:rPr>
          <w:b/>
          <w:bCs/>
        </w:rPr>
      </w:pPr>
      <w:r w:rsidRPr="00146CD5">
        <w:rPr>
          <w:b/>
          <w:bCs/>
        </w:rPr>
        <w:lastRenderedPageBreak/>
        <w:t>Summary:</w:t>
      </w:r>
    </w:p>
    <w:p w14:paraId="62C63A5A" w14:textId="04E49F14" w:rsidR="002E0F5D" w:rsidRPr="006E063F" w:rsidRDefault="00C70C9C" w:rsidP="00146CD5">
      <w:pPr>
        <w:pStyle w:val="NoSpacing"/>
      </w:pPr>
      <w:r w:rsidRPr="006E063F">
        <w:t>The electrical power for th</w:t>
      </w:r>
      <w:r w:rsidR="0091504E">
        <w:t xml:space="preserve">e </w:t>
      </w:r>
      <w:r w:rsidR="00DD5EE7">
        <w:t xml:space="preserve">Brandon Irene WSC </w:t>
      </w:r>
      <w:r w:rsidR="00FE43E8">
        <w:t>Bynum Hillsboro</w:t>
      </w:r>
      <w:r w:rsidR="00DD5EE7">
        <w:t xml:space="preserve"> Water</w:t>
      </w:r>
      <w:r w:rsidR="00C9272B">
        <w:t xml:space="preserve"> </w:t>
      </w:r>
      <w:r w:rsidR="009A798C">
        <w:t>System</w:t>
      </w:r>
      <w:r w:rsidR="009A798C" w:rsidRPr="006E063F">
        <w:t xml:space="preserve"> facili</w:t>
      </w:r>
      <w:r w:rsidR="009A798C">
        <w:t>ties</w:t>
      </w:r>
      <w:r w:rsidRPr="006E063F">
        <w:t xml:space="preserve"> is provided by </w:t>
      </w:r>
      <w:r w:rsidR="00137B8B">
        <w:t>TXU Energy</w:t>
      </w:r>
      <w:r w:rsidR="00D87203">
        <w:t xml:space="preserve"> at the Plant 4 site, and by Hilco Electric Cooperative, Inc. at the Plant 5 site</w:t>
      </w:r>
      <w:r w:rsidR="00701C6F" w:rsidRPr="006E063F">
        <w:t>.</w:t>
      </w:r>
      <w:r w:rsidRPr="006E063F">
        <w:t xml:space="preserve"> The information provided cov</w:t>
      </w:r>
      <w:r w:rsidR="00701C6F" w:rsidRPr="006E063F">
        <w:t xml:space="preserve">ers the period from </w:t>
      </w:r>
      <w:r w:rsidR="00137B8B">
        <w:t xml:space="preserve">February </w:t>
      </w:r>
      <w:r w:rsidR="00CC0013">
        <w:t>26</w:t>
      </w:r>
      <w:r w:rsidRPr="006E063F">
        <w:t>, 20</w:t>
      </w:r>
      <w:r w:rsidR="00337AF8">
        <w:t>2</w:t>
      </w:r>
      <w:r w:rsidR="00137B8B">
        <w:t>4</w:t>
      </w:r>
      <w:r w:rsidRPr="006E063F">
        <w:t xml:space="preserve"> through </w:t>
      </w:r>
      <w:r w:rsidR="00CC0013">
        <w:t>March 05</w:t>
      </w:r>
      <w:r w:rsidR="008914C7">
        <w:t>,</w:t>
      </w:r>
      <w:r w:rsidR="00701C6F" w:rsidRPr="006E063F">
        <w:t xml:space="preserve"> 20</w:t>
      </w:r>
      <w:r w:rsidR="00337AF8">
        <w:t>2</w:t>
      </w:r>
      <w:r w:rsidR="00137B8B">
        <w:t>5</w:t>
      </w:r>
      <w:r w:rsidRPr="006E063F">
        <w:t>.</w:t>
      </w:r>
      <w:r w:rsidR="00701C6F" w:rsidRPr="006E063F">
        <w:t xml:space="preserve"> </w:t>
      </w:r>
      <w:r w:rsidRPr="006E063F">
        <w:t xml:space="preserve">The data shows that the system paid an average rate of </w:t>
      </w:r>
      <w:r w:rsidR="00701C6F" w:rsidRPr="006E063F">
        <w:rPr>
          <w:b/>
          <w:highlight w:val="red"/>
        </w:rPr>
        <w:t>$0.</w:t>
      </w:r>
      <w:r w:rsidR="00CC0013">
        <w:rPr>
          <w:b/>
          <w:highlight w:val="red"/>
        </w:rPr>
        <w:t>115</w:t>
      </w:r>
      <w:r w:rsidRPr="006E063F">
        <w:rPr>
          <w:b/>
          <w:highlight w:val="red"/>
        </w:rPr>
        <w:t>/kwh</w:t>
      </w:r>
      <w:r w:rsidRPr="006E063F">
        <w:t xml:space="preserve">. During this period, the system consumed </w:t>
      </w:r>
      <w:r w:rsidR="00CC0013">
        <w:rPr>
          <w:b/>
          <w:highlight w:val="red"/>
        </w:rPr>
        <w:t>658,452</w:t>
      </w:r>
      <w:r w:rsidRPr="006E063F">
        <w:rPr>
          <w:b/>
          <w:highlight w:val="red"/>
        </w:rPr>
        <w:t>.0</w:t>
      </w:r>
      <w:r w:rsidRPr="006E063F">
        <w:t xml:space="preserve"> kWh of electricity. The cost for the supplied electricity was </w:t>
      </w:r>
      <w:r w:rsidR="00701C6F" w:rsidRPr="006E063F">
        <w:rPr>
          <w:b/>
          <w:highlight w:val="red"/>
        </w:rPr>
        <w:t>$</w:t>
      </w:r>
      <w:r w:rsidR="00CC0013">
        <w:rPr>
          <w:b/>
          <w:highlight w:val="red"/>
        </w:rPr>
        <w:t>55,643.71</w:t>
      </w:r>
      <w:r w:rsidR="002E19D1">
        <w:rPr>
          <w:b/>
        </w:rPr>
        <w:t xml:space="preserve"> </w:t>
      </w:r>
      <w:r w:rsidR="002E19D1">
        <w:rPr>
          <w:bCs/>
        </w:rPr>
        <w:t>and t</w:t>
      </w:r>
      <w:r w:rsidR="00BE2FC9">
        <w:rPr>
          <w:bCs/>
        </w:rPr>
        <w:t>he</w:t>
      </w:r>
      <w:r w:rsidR="002E19D1">
        <w:rPr>
          <w:bCs/>
        </w:rPr>
        <w:t xml:space="preserve"> total cost for service to the system was </w:t>
      </w:r>
      <w:r w:rsidR="002E19D1" w:rsidRPr="002E19D1">
        <w:rPr>
          <w:b/>
          <w:highlight w:val="red"/>
        </w:rPr>
        <w:t>$</w:t>
      </w:r>
      <w:r w:rsidR="00CC0013">
        <w:rPr>
          <w:b/>
          <w:highlight w:val="red"/>
        </w:rPr>
        <w:t>64,994.50</w:t>
      </w:r>
      <w:r w:rsidR="002E19D1">
        <w:rPr>
          <w:bCs/>
        </w:rPr>
        <w:t xml:space="preserve">. </w:t>
      </w:r>
      <w:r w:rsidR="00F50DB8" w:rsidRPr="006E063F">
        <w:t xml:space="preserve">It </w:t>
      </w:r>
      <w:r w:rsidR="00F50DB8">
        <w:t xml:space="preserve">should be noted that the system incurred peak electrical demand charges in the amount of </w:t>
      </w:r>
      <w:r w:rsidR="00F50DB8" w:rsidRPr="002E19D1">
        <w:rPr>
          <w:b/>
          <w:bCs/>
          <w:highlight w:val="red"/>
        </w:rPr>
        <w:t>$</w:t>
      </w:r>
      <w:r w:rsidR="00CC0013">
        <w:rPr>
          <w:b/>
          <w:bCs/>
          <w:highlight w:val="red"/>
        </w:rPr>
        <w:t>11,939.65</w:t>
      </w:r>
      <w:r w:rsidR="00F50DB8">
        <w:t xml:space="preserve"> during the covered time period. This amount is equal to approximately </w:t>
      </w:r>
      <w:r w:rsidR="00CC0013">
        <w:t>18.4</w:t>
      </w:r>
      <w:r w:rsidR="00F50DB8">
        <w:t>% of the entire electrical expenditure for the covered time period.</w:t>
      </w:r>
    </w:p>
    <w:p w14:paraId="08BBA90B" w14:textId="40B40FB8" w:rsidR="002E0F5D" w:rsidRPr="00146CD5" w:rsidRDefault="00C70C9C" w:rsidP="00146CD5">
      <w:pPr>
        <w:pStyle w:val="NoSpacing"/>
        <w:rPr>
          <w:b/>
          <w:bCs/>
        </w:rPr>
      </w:pPr>
      <w:r w:rsidRPr="00146CD5">
        <w:rPr>
          <w:b/>
          <w:bCs/>
        </w:rPr>
        <w:t>Energy Efficiency Recommendations:</w:t>
      </w:r>
    </w:p>
    <w:p w14:paraId="45ED22C5" w14:textId="316E0E17" w:rsidR="00D738CC" w:rsidRPr="00146CD5" w:rsidRDefault="008914C7" w:rsidP="00D738CC">
      <w:pPr>
        <w:pStyle w:val="NoSpacing"/>
        <w:rPr>
          <w:sz w:val="20"/>
          <w:szCs w:val="20"/>
        </w:rPr>
      </w:pPr>
      <w:r>
        <w:rPr>
          <w:sz w:val="20"/>
          <w:szCs w:val="20"/>
        </w:rPr>
        <w:t>T</w:t>
      </w:r>
      <w:r w:rsidR="00D738CC" w:rsidRPr="006E063F">
        <w:rPr>
          <w:sz w:val="20"/>
          <w:szCs w:val="20"/>
        </w:rPr>
        <w:t xml:space="preserve">he </w:t>
      </w:r>
      <w:r>
        <w:rPr>
          <w:sz w:val="20"/>
          <w:szCs w:val="20"/>
        </w:rPr>
        <w:t xml:space="preserve">existing </w:t>
      </w:r>
      <w:r w:rsidR="00CC0013">
        <w:rPr>
          <w:sz w:val="20"/>
          <w:szCs w:val="20"/>
        </w:rPr>
        <w:t xml:space="preserve">distribution pump motors and </w:t>
      </w:r>
      <w:r w:rsidR="00D738CC" w:rsidRPr="006E063F">
        <w:rPr>
          <w:sz w:val="20"/>
          <w:szCs w:val="20"/>
        </w:rPr>
        <w:t>groundwater production well motor</w:t>
      </w:r>
      <w:r w:rsidR="00CC0013">
        <w:rPr>
          <w:sz w:val="20"/>
          <w:szCs w:val="20"/>
        </w:rPr>
        <w:t>s are</w:t>
      </w:r>
      <w:r>
        <w:rPr>
          <w:sz w:val="20"/>
          <w:szCs w:val="20"/>
        </w:rPr>
        <w:t xml:space="preserve"> </w:t>
      </w:r>
      <w:r w:rsidR="00D738CC" w:rsidRPr="006E063F">
        <w:rPr>
          <w:sz w:val="20"/>
          <w:szCs w:val="20"/>
        </w:rPr>
        <w:t xml:space="preserve">of a high efficiency design and therefore replacement or upgrading of this equipment is not recommended at this time. </w:t>
      </w:r>
    </w:p>
    <w:p w14:paraId="6E9BDF9C" w14:textId="77777777" w:rsidR="00CC0013" w:rsidRDefault="00D738CC" w:rsidP="002E0F5D">
      <w:pPr>
        <w:pStyle w:val="NoSpacing"/>
      </w:pPr>
      <w:r w:rsidRPr="006E063F">
        <w:t xml:space="preserve">The </w:t>
      </w:r>
      <w:r w:rsidR="00F50DB8">
        <w:t>optimization</w:t>
      </w:r>
      <w:r w:rsidRPr="006E063F">
        <w:t xml:space="preserve"> of </w:t>
      </w:r>
      <w:r w:rsidR="00CC0013">
        <w:t xml:space="preserve">the existing </w:t>
      </w:r>
      <w:r w:rsidRPr="006E063F">
        <w:t>variable frequency drive systems (</w:t>
      </w:r>
      <w:r w:rsidR="00BE2FC9" w:rsidRPr="006E063F">
        <w:t>VFD’s)</w:t>
      </w:r>
      <w:r w:rsidRPr="006E063F">
        <w:t xml:space="preserve"> on all </w:t>
      </w:r>
      <w:r w:rsidR="002558DB">
        <w:t xml:space="preserve">distribution pump motors and </w:t>
      </w:r>
      <w:r w:rsidRPr="006E063F">
        <w:t>groundwater production pump motors</w:t>
      </w:r>
      <w:r w:rsidR="002558DB">
        <w:t xml:space="preserve"> </w:t>
      </w:r>
      <w:r w:rsidRPr="006E063F">
        <w:t>will add increased pumping efficiency, and thereby result in an increase in electrical efficiency and savings. Some</w:t>
      </w:r>
      <w:r w:rsidR="002558DB" w:rsidRPr="002558DB">
        <w:rPr>
          <w:sz w:val="20"/>
          <w:szCs w:val="20"/>
        </w:rPr>
        <w:t xml:space="preserve"> </w:t>
      </w:r>
      <w:r w:rsidR="002558DB" w:rsidRPr="004D302D">
        <w:rPr>
          <w:sz w:val="20"/>
          <w:szCs w:val="20"/>
        </w:rPr>
        <w:t xml:space="preserve">sources site </w:t>
      </w:r>
      <w:r w:rsidR="002558DB">
        <w:rPr>
          <w:sz w:val="20"/>
          <w:szCs w:val="20"/>
        </w:rPr>
        <w:t>a</w:t>
      </w:r>
      <w:r w:rsidR="002558DB" w:rsidRPr="004D302D">
        <w:rPr>
          <w:sz w:val="20"/>
          <w:szCs w:val="20"/>
        </w:rPr>
        <w:t xml:space="preserve"> potential </w:t>
      </w:r>
      <w:r w:rsidR="002558DB" w:rsidRPr="002558DB">
        <w:rPr>
          <w:sz w:val="20"/>
          <w:szCs w:val="20"/>
          <w:highlight w:val="green"/>
        </w:rPr>
        <w:t>50%</w:t>
      </w:r>
      <w:r w:rsidR="002558DB" w:rsidRPr="004D302D">
        <w:rPr>
          <w:sz w:val="20"/>
          <w:szCs w:val="20"/>
        </w:rPr>
        <w:t xml:space="preserve"> reduction in energy consumption for distribution pump motors with the addition of variable frequency drives</w:t>
      </w:r>
      <w:r w:rsidR="002558DB">
        <w:rPr>
          <w:sz w:val="20"/>
          <w:szCs w:val="20"/>
        </w:rPr>
        <w:t>, as well as</w:t>
      </w:r>
      <w:r w:rsidRPr="006E063F">
        <w:t xml:space="preserve"> </w:t>
      </w:r>
      <w:r w:rsidRPr="006E063F">
        <w:rPr>
          <w:highlight w:val="green"/>
        </w:rPr>
        <w:t>13%</w:t>
      </w:r>
      <w:r w:rsidR="002558DB">
        <w:t xml:space="preserve"> </w:t>
      </w:r>
      <w:r w:rsidR="002558DB" w:rsidRPr="006E063F">
        <w:t xml:space="preserve">potential savings </w:t>
      </w:r>
      <w:r w:rsidR="002558DB">
        <w:t>with</w:t>
      </w:r>
      <w:r w:rsidR="002558DB" w:rsidRPr="006E063F">
        <w:t xml:space="preserve"> the installation of such devices on groundwater production wells </w:t>
      </w:r>
      <w:r w:rsidRPr="006E063F">
        <w:t xml:space="preserve">(California Energy Commission). </w:t>
      </w:r>
      <w:r w:rsidR="00910741">
        <w:t xml:space="preserve">The optimization of the existing VFD’s would result in an estimated savings of </w:t>
      </w:r>
      <w:r w:rsidR="00910741" w:rsidRPr="00910741">
        <w:rPr>
          <w:b/>
          <w:bCs/>
          <w:highlight w:val="green"/>
        </w:rPr>
        <w:t>$</w:t>
      </w:r>
      <w:r w:rsidR="00CC0013">
        <w:rPr>
          <w:b/>
          <w:bCs/>
          <w:highlight w:val="green"/>
        </w:rPr>
        <w:t>11,969.21</w:t>
      </w:r>
      <w:r w:rsidR="00910741">
        <w:t>. There is no cost associated with this savings, as the equipment is already installed</w:t>
      </w:r>
      <w:r w:rsidR="00CC0013">
        <w:t xml:space="preserve">, and as such the savings would be immediate. </w:t>
      </w:r>
    </w:p>
    <w:p w14:paraId="4BDCE862" w14:textId="3727B01B" w:rsidR="0038430C" w:rsidRPr="0038430C" w:rsidRDefault="00910741" w:rsidP="002E0F5D">
      <w:pPr>
        <w:pStyle w:val="NoSpacing"/>
      </w:pPr>
      <w:r w:rsidRPr="00A817E7">
        <w:t>Additionally, t</w:t>
      </w:r>
      <w:r w:rsidR="00CC0013">
        <w:t xml:space="preserve">he </w:t>
      </w:r>
      <w:r w:rsidR="0038430C">
        <w:t xml:space="preserve">optimization </w:t>
      </w:r>
      <w:r w:rsidRPr="00A817E7">
        <w:t xml:space="preserve">of </w:t>
      </w:r>
      <w:r w:rsidR="00CC0013">
        <w:t xml:space="preserve">the existing </w:t>
      </w:r>
      <w:r w:rsidRPr="00A817E7">
        <w:t xml:space="preserve">VFD controllers would allow for greater operational control and configuration of motor run times and could help to eliminate up to 45% of </w:t>
      </w:r>
      <w:r>
        <w:t>the current</w:t>
      </w:r>
      <w:r w:rsidRPr="00A817E7">
        <w:t xml:space="preserve"> peak electrical demand charges incurred by the system</w:t>
      </w:r>
      <w:r>
        <w:t xml:space="preserve">, which would result in an additional annual savings of approximately </w:t>
      </w:r>
      <w:r w:rsidRPr="0022794B">
        <w:rPr>
          <w:b/>
          <w:bCs/>
          <w:highlight w:val="green"/>
        </w:rPr>
        <w:t>$</w:t>
      </w:r>
      <w:r w:rsidR="00CC0013">
        <w:rPr>
          <w:b/>
          <w:bCs/>
          <w:highlight w:val="green"/>
        </w:rPr>
        <w:t>5,372.84</w:t>
      </w:r>
      <w:r>
        <w:t>.</w:t>
      </w:r>
    </w:p>
    <w:p w14:paraId="18CB14A4" w14:textId="771F57AD" w:rsidR="00D738CC" w:rsidRDefault="00D738CC" w:rsidP="002E0F5D">
      <w:pPr>
        <w:pStyle w:val="NoSpacing"/>
        <w:rPr>
          <w:sz w:val="20"/>
          <w:szCs w:val="20"/>
        </w:rPr>
      </w:pPr>
      <w:r w:rsidRPr="00746051">
        <w:rPr>
          <w:sz w:val="20"/>
          <w:szCs w:val="20"/>
        </w:rPr>
        <w:t>In addition to the aforementioned recommendations, it is also highly recommended that hour metering instrumentation be installed on all electrical components, and that regular records of pump and motor runtimes are recorded. The ability to calculate pump and motor run times is an integral part of a good preventative maintenance program and is the single best way to determine the actual distribution of the workload between the various pumps in the distribution system. It will also aid in determining pumping cycles and allow for adjustments to be made which can lead to longer pump runtimes, fewer motor starts, and greater overall efficiency.</w:t>
      </w:r>
    </w:p>
    <w:p w14:paraId="46B02653" w14:textId="77777777" w:rsidR="002E0F5D" w:rsidRPr="00146CD5" w:rsidRDefault="002E0F5D" w:rsidP="002E0F5D">
      <w:pPr>
        <w:pStyle w:val="NoSpacing"/>
        <w:rPr>
          <w:sz w:val="20"/>
          <w:szCs w:val="20"/>
        </w:rPr>
      </w:pPr>
    </w:p>
    <w:p w14:paraId="41E38DFA" w14:textId="2A97EE81" w:rsidR="00D738CC" w:rsidRDefault="00D738CC" w:rsidP="00D738CC">
      <w:pPr>
        <w:rPr>
          <w:sz w:val="20"/>
          <w:szCs w:val="20"/>
        </w:rPr>
      </w:pPr>
      <w:r w:rsidRPr="006E063F">
        <w:rPr>
          <w:sz w:val="20"/>
          <w:szCs w:val="20"/>
        </w:rPr>
        <w:t xml:space="preserve">If the above-mentioned recommendations are followed, it is estimated to result in a potential annual savings of </w:t>
      </w:r>
      <w:r w:rsidRPr="006E063F">
        <w:rPr>
          <w:b/>
          <w:sz w:val="20"/>
          <w:szCs w:val="20"/>
          <w:highlight w:val="green"/>
        </w:rPr>
        <w:t>$</w:t>
      </w:r>
      <w:r w:rsidR="00427728">
        <w:rPr>
          <w:b/>
          <w:sz w:val="20"/>
          <w:szCs w:val="20"/>
          <w:highlight w:val="green"/>
        </w:rPr>
        <w:t>17,342.06</w:t>
      </w:r>
      <w:r w:rsidRPr="006E063F">
        <w:rPr>
          <w:sz w:val="20"/>
          <w:szCs w:val="20"/>
        </w:rPr>
        <w:t xml:space="preserve"> for the </w:t>
      </w:r>
      <w:r w:rsidR="00DD5EE7">
        <w:rPr>
          <w:sz w:val="20"/>
          <w:szCs w:val="20"/>
        </w:rPr>
        <w:t xml:space="preserve">Brandon Irene WSC </w:t>
      </w:r>
      <w:r w:rsidR="00FE43E8">
        <w:rPr>
          <w:sz w:val="20"/>
          <w:szCs w:val="20"/>
        </w:rPr>
        <w:t>Bynum Hillsboro</w:t>
      </w:r>
      <w:r w:rsidR="00DD5EE7">
        <w:rPr>
          <w:sz w:val="20"/>
          <w:szCs w:val="20"/>
        </w:rPr>
        <w:t xml:space="preserve"> Water</w:t>
      </w:r>
      <w:r w:rsidR="009A798C" w:rsidRPr="006E063F">
        <w:rPr>
          <w:sz w:val="20"/>
          <w:szCs w:val="20"/>
        </w:rPr>
        <w:t xml:space="preserve"> System</w:t>
      </w:r>
      <w:r w:rsidRPr="006E063F">
        <w:rPr>
          <w:sz w:val="20"/>
          <w:szCs w:val="20"/>
        </w:rPr>
        <w:t xml:space="preserve">, which is a projected savings of approximately </w:t>
      </w:r>
      <w:r w:rsidR="00427728">
        <w:rPr>
          <w:b/>
          <w:sz w:val="20"/>
          <w:szCs w:val="20"/>
          <w:highlight w:val="green"/>
        </w:rPr>
        <w:t>31.2</w:t>
      </w:r>
      <w:r w:rsidRPr="006E063F">
        <w:rPr>
          <w:b/>
          <w:sz w:val="20"/>
          <w:szCs w:val="20"/>
          <w:highlight w:val="green"/>
        </w:rPr>
        <w:t>%</w:t>
      </w:r>
      <w:r w:rsidRPr="006E063F">
        <w:rPr>
          <w:sz w:val="20"/>
          <w:szCs w:val="20"/>
        </w:rPr>
        <w:t xml:space="preserve"> based upon the supplied electrical rates and usage data.</w:t>
      </w:r>
    </w:p>
    <w:p w14:paraId="0CC1837D" w14:textId="77777777" w:rsidR="00427728" w:rsidRDefault="00427728" w:rsidP="00C70C9C">
      <w:pPr>
        <w:rPr>
          <w:b/>
        </w:rPr>
      </w:pPr>
    </w:p>
    <w:p w14:paraId="3FB9D9F2" w14:textId="77777777" w:rsidR="00427728" w:rsidRDefault="00427728" w:rsidP="00C70C9C">
      <w:pPr>
        <w:rPr>
          <w:b/>
        </w:rPr>
      </w:pPr>
    </w:p>
    <w:p w14:paraId="6B9DA5B7" w14:textId="77777777" w:rsidR="00427728" w:rsidRDefault="00427728" w:rsidP="00C70C9C">
      <w:pPr>
        <w:rPr>
          <w:b/>
        </w:rPr>
      </w:pPr>
    </w:p>
    <w:p w14:paraId="7142C4B0" w14:textId="77777777" w:rsidR="00427728" w:rsidRDefault="00427728" w:rsidP="00C70C9C">
      <w:pPr>
        <w:rPr>
          <w:b/>
        </w:rPr>
      </w:pPr>
    </w:p>
    <w:p w14:paraId="40FD0613" w14:textId="77777777" w:rsidR="00427728" w:rsidRDefault="00427728" w:rsidP="00C70C9C">
      <w:pPr>
        <w:rPr>
          <w:b/>
        </w:rPr>
      </w:pPr>
    </w:p>
    <w:p w14:paraId="123B4C61" w14:textId="77777777" w:rsidR="00427728" w:rsidRDefault="00427728" w:rsidP="00C70C9C">
      <w:pPr>
        <w:rPr>
          <w:b/>
        </w:rPr>
      </w:pPr>
    </w:p>
    <w:p w14:paraId="4CD5FCAD" w14:textId="77777777" w:rsidR="00427728" w:rsidRDefault="00427728" w:rsidP="00C70C9C">
      <w:pPr>
        <w:rPr>
          <w:b/>
        </w:rPr>
      </w:pPr>
    </w:p>
    <w:p w14:paraId="0BB0271F" w14:textId="77777777" w:rsidR="00427728" w:rsidRDefault="00427728" w:rsidP="00C70C9C">
      <w:pPr>
        <w:rPr>
          <w:b/>
        </w:rPr>
      </w:pPr>
    </w:p>
    <w:p w14:paraId="59C776FD" w14:textId="77777777" w:rsidR="00427728" w:rsidRDefault="00427728" w:rsidP="00C70C9C">
      <w:pPr>
        <w:rPr>
          <w:b/>
        </w:rPr>
      </w:pPr>
    </w:p>
    <w:p w14:paraId="6152329A" w14:textId="7FD998CA" w:rsidR="00C70C9C" w:rsidRPr="00453A2F" w:rsidRDefault="00C70C9C" w:rsidP="00C70C9C">
      <w:pPr>
        <w:rPr>
          <w:sz w:val="20"/>
          <w:szCs w:val="20"/>
        </w:rPr>
      </w:pPr>
      <w:r w:rsidRPr="008138A9">
        <w:rPr>
          <w:b/>
        </w:rPr>
        <w:lastRenderedPageBreak/>
        <w:t>Sources of Funding:</w:t>
      </w:r>
    </w:p>
    <w:p w14:paraId="296C1AC8" w14:textId="77777777" w:rsidR="00C70C9C" w:rsidRPr="000B131E" w:rsidRDefault="00C70C9C" w:rsidP="00C70C9C">
      <w:pPr>
        <w:spacing w:after="0" w:line="240" w:lineRule="auto"/>
        <w:rPr>
          <w:rFonts w:eastAsia="Times New Roman" w:cs="Times New Roman"/>
          <w:b/>
        </w:rPr>
      </w:pPr>
      <w:r w:rsidRPr="000B131E">
        <w:rPr>
          <w:rFonts w:eastAsia="Times New Roman" w:cs="Times New Roman"/>
          <w:b/>
        </w:rPr>
        <w:t>United States Department of Agriculture Rural Development</w:t>
      </w:r>
    </w:p>
    <w:p w14:paraId="334C4685" w14:textId="77777777" w:rsidR="00C70C9C" w:rsidRPr="006E063F" w:rsidRDefault="00C70C9C" w:rsidP="00C70C9C">
      <w:pPr>
        <w:spacing w:after="0" w:line="240" w:lineRule="auto"/>
        <w:rPr>
          <w:rFonts w:eastAsia="Times New Roman" w:cs="Times New Roman"/>
          <w:sz w:val="20"/>
          <w:szCs w:val="20"/>
        </w:rPr>
      </w:pPr>
      <w:r w:rsidRPr="006E063F">
        <w:rPr>
          <w:rFonts w:eastAsia="Times New Roman" w:cs="Times New Roman"/>
          <w:sz w:val="20"/>
          <w:szCs w:val="20"/>
        </w:rPr>
        <w:t>The USDA RD has a wide range of loan and grant programs which systems can use to fund any or all improvements which will help them achieve long term energy savings.   Below are a few of the types of programs and services they can provide to utilities.</w:t>
      </w:r>
    </w:p>
    <w:p w14:paraId="103A2A52" w14:textId="77777777" w:rsidR="00C70C9C" w:rsidRPr="006E063F" w:rsidRDefault="00C70C9C" w:rsidP="00C70C9C">
      <w:pPr>
        <w:spacing w:after="0" w:line="240" w:lineRule="auto"/>
        <w:rPr>
          <w:rFonts w:eastAsia="Times New Roman" w:cs="Arial"/>
          <w:sz w:val="20"/>
          <w:szCs w:val="20"/>
          <w:lang w:val="en"/>
        </w:rPr>
      </w:pPr>
      <w:r w:rsidRPr="006E063F">
        <w:rPr>
          <w:rFonts w:eastAsia="Times New Roman" w:cs="Arial"/>
          <w:sz w:val="20"/>
          <w:szCs w:val="20"/>
          <w:lang w:val="en"/>
        </w:rPr>
        <w:t>USDA Programs &amp; Services for Utilities</w:t>
      </w:r>
    </w:p>
    <w:p w14:paraId="227642A4" w14:textId="77777777" w:rsidR="00C70C9C" w:rsidRPr="006E063F" w:rsidRDefault="00C70C9C" w:rsidP="00C70C9C">
      <w:pPr>
        <w:spacing w:after="0" w:line="240" w:lineRule="auto"/>
        <w:rPr>
          <w:rFonts w:eastAsia="Times New Roman" w:cs="Arial"/>
          <w:sz w:val="20"/>
          <w:szCs w:val="20"/>
          <w:lang w:val="en"/>
        </w:rPr>
      </w:pPr>
      <w:hyperlink r:id="rId9" w:history="1">
        <w:r w:rsidRPr="006E063F">
          <w:rPr>
            <w:rFonts w:eastAsia="Times New Roman" w:cs="Arial"/>
            <w:sz w:val="20"/>
            <w:szCs w:val="20"/>
            <w:u w:val="single"/>
            <w:lang w:val="en"/>
          </w:rPr>
          <w:t>Denali Commission High Energy Cost Grants</w:t>
        </w:r>
      </w:hyperlink>
      <w:r w:rsidRPr="006E063F">
        <w:rPr>
          <w:rFonts w:eastAsia="Times New Roman" w:cs="Arial"/>
          <w:sz w:val="20"/>
          <w:szCs w:val="20"/>
          <w:lang w:val="en"/>
        </w:rPr>
        <w:t xml:space="preserve"> </w:t>
      </w:r>
    </w:p>
    <w:p w14:paraId="2DE73F8F" w14:textId="77777777" w:rsidR="00C70C9C" w:rsidRPr="006E063F" w:rsidRDefault="00C70C9C" w:rsidP="00C70C9C">
      <w:pPr>
        <w:spacing w:after="0" w:line="240" w:lineRule="auto"/>
        <w:rPr>
          <w:rFonts w:eastAsia="Times New Roman" w:cs="Arial"/>
          <w:sz w:val="20"/>
          <w:szCs w:val="20"/>
          <w:lang w:val="en"/>
        </w:rPr>
      </w:pPr>
      <w:hyperlink r:id="rId10" w:history="1">
        <w:r w:rsidRPr="006E063F">
          <w:rPr>
            <w:rFonts w:eastAsia="Times New Roman" w:cs="Arial"/>
            <w:sz w:val="20"/>
            <w:szCs w:val="20"/>
            <w:u w:val="single"/>
            <w:lang w:val="en"/>
          </w:rPr>
          <w:t>Electric Infrastructure Loan &amp; Loan Guarantee Program</w:t>
        </w:r>
      </w:hyperlink>
      <w:r w:rsidRPr="006E063F">
        <w:rPr>
          <w:rFonts w:eastAsia="Times New Roman" w:cs="Arial"/>
          <w:sz w:val="20"/>
          <w:szCs w:val="20"/>
          <w:lang w:val="en"/>
        </w:rPr>
        <w:t xml:space="preserve"> </w:t>
      </w:r>
    </w:p>
    <w:p w14:paraId="1B7E0A59" w14:textId="77777777" w:rsidR="00C70C9C" w:rsidRPr="006E063F" w:rsidRDefault="00C70C9C" w:rsidP="00C70C9C">
      <w:pPr>
        <w:spacing w:after="0" w:line="240" w:lineRule="auto"/>
        <w:rPr>
          <w:rFonts w:eastAsia="Times New Roman" w:cs="Arial"/>
          <w:sz w:val="20"/>
          <w:szCs w:val="20"/>
          <w:lang w:val="en"/>
        </w:rPr>
      </w:pPr>
      <w:hyperlink r:id="rId11" w:history="1">
        <w:r w:rsidRPr="006E063F">
          <w:rPr>
            <w:rFonts w:eastAsia="Times New Roman" w:cs="Arial"/>
            <w:sz w:val="20"/>
            <w:szCs w:val="20"/>
            <w:u w:val="single"/>
            <w:lang w:val="en"/>
          </w:rPr>
          <w:t>Emergency Community Water Assistance Grants</w:t>
        </w:r>
      </w:hyperlink>
      <w:r w:rsidRPr="006E063F">
        <w:rPr>
          <w:rFonts w:eastAsia="Times New Roman" w:cs="Arial"/>
          <w:sz w:val="20"/>
          <w:szCs w:val="20"/>
          <w:lang w:val="en"/>
        </w:rPr>
        <w:t xml:space="preserve"> </w:t>
      </w:r>
    </w:p>
    <w:p w14:paraId="4D5FB10D" w14:textId="77777777" w:rsidR="00C70C9C" w:rsidRPr="006E063F" w:rsidRDefault="00C70C9C" w:rsidP="00C70C9C">
      <w:pPr>
        <w:spacing w:after="0" w:line="240" w:lineRule="auto"/>
        <w:rPr>
          <w:rFonts w:eastAsia="Times New Roman" w:cs="Arial"/>
          <w:sz w:val="20"/>
          <w:szCs w:val="20"/>
          <w:lang w:val="en"/>
        </w:rPr>
      </w:pPr>
      <w:hyperlink r:id="rId12" w:history="1">
        <w:r w:rsidRPr="006E063F">
          <w:rPr>
            <w:rFonts w:eastAsia="Times New Roman" w:cs="Arial"/>
            <w:sz w:val="20"/>
            <w:szCs w:val="20"/>
            <w:u w:val="single"/>
            <w:lang w:val="en"/>
          </w:rPr>
          <w:t>Energy Efficiency and Conservation Loan Program</w:t>
        </w:r>
      </w:hyperlink>
      <w:r w:rsidRPr="006E063F">
        <w:rPr>
          <w:rFonts w:eastAsia="Times New Roman" w:cs="Arial"/>
          <w:sz w:val="20"/>
          <w:szCs w:val="20"/>
          <w:lang w:val="en"/>
        </w:rPr>
        <w:t xml:space="preserve"> </w:t>
      </w:r>
    </w:p>
    <w:p w14:paraId="6B182CD1" w14:textId="77777777" w:rsidR="00C70C9C" w:rsidRPr="006E063F" w:rsidRDefault="00C70C9C" w:rsidP="00C70C9C">
      <w:pPr>
        <w:spacing w:after="0" w:line="240" w:lineRule="auto"/>
        <w:rPr>
          <w:rFonts w:eastAsia="Times New Roman" w:cs="Arial"/>
          <w:sz w:val="20"/>
          <w:szCs w:val="20"/>
          <w:lang w:val="en"/>
        </w:rPr>
      </w:pPr>
      <w:hyperlink r:id="rId13" w:history="1">
        <w:r w:rsidRPr="006E063F">
          <w:rPr>
            <w:rFonts w:eastAsia="Times New Roman" w:cs="Arial"/>
            <w:sz w:val="20"/>
            <w:szCs w:val="20"/>
            <w:u w:val="single"/>
            <w:lang w:val="en"/>
          </w:rPr>
          <w:t>High Energy Cost Grants</w:t>
        </w:r>
      </w:hyperlink>
      <w:r w:rsidRPr="006E063F">
        <w:rPr>
          <w:rFonts w:eastAsia="Times New Roman" w:cs="Arial"/>
          <w:sz w:val="20"/>
          <w:szCs w:val="20"/>
          <w:lang w:val="en"/>
        </w:rPr>
        <w:t xml:space="preserve"> </w:t>
      </w:r>
    </w:p>
    <w:p w14:paraId="197C39C0" w14:textId="77777777" w:rsidR="00C70C9C" w:rsidRPr="006E063F" w:rsidRDefault="00C70C9C" w:rsidP="00C70C9C">
      <w:pPr>
        <w:spacing w:after="0" w:line="240" w:lineRule="auto"/>
        <w:rPr>
          <w:rFonts w:eastAsia="Times New Roman" w:cs="Arial"/>
          <w:sz w:val="20"/>
          <w:szCs w:val="20"/>
          <w:lang w:val="en"/>
        </w:rPr>
      </w:pPr>
      <w:hyperlink r:id="rId14" w:history="1">
        <w:r w:rsidRPr="006E063F">
          <w:rPr>
            <w:rFonts w:eastAsia="Times New Roman" w:cs="Arial"/>
            <w:sz w:val="20"/>
            <w:szCs w:val="20"/>
            <w:u w:val="single"/>
            <w:lang w:val="en"/>
          </w:rPr>
          <w:t>Rural Economic Development Loan &amp; Grant Program</w:t>
        </w:r>
      </w:hyperlink>
      <w:r w:rsidRPr="006E063F">
        <w:rPr>
          <w:rFonts w:eastAsia="Times New Roman" w:cs="Arial"/>
          <w:sz w:val="20"/>
          <w:szCs w:val="20"/>
          <w:lang w:val="en"/>
        </w:rPr>
        <w:t xml:space="preserve"> </w:t>
      </w:r>
    </w:p>
    <w:p w14:paraId="4DC03CE9" w14:textId="77777777" w:rsidR="00C70C9C" w:rsidRPr="006E063F" w:rsidRDefault="00C70C9C" w:rsidP="00C70C9C">
      <w:pPr>
        <w:spacing w:after="0" w:line="240" w:lineRule="auto"/>
        <w:rPr>
          <w:rFonts w:eastAsia="Times New Roman" w:cs="Arial"/>
          <w:sz w:val="20"/>
          <w:szCs w:val="20"/>
          <w:lang w:val="en"/>
        </w:rPr>
      </w:pPr>
      <w:hyperlink r:id="rId15" w:history="1">
        <w:r w:rsidRPr="006E063F">
          <w:rPr>
            <w:rFonts w:eastAsia="Times New Roman" w:cs="Arial"/>
            <w:sz w:val="20"/>
            <w:szCs w:val="20"/>
            <w:u w:val="single"/>
            <w:lang w:val="en"/>
          </w:rPr>
          <w:t>Solid Waste Management Grants</w:t>
        </w:r>
      </w:hyperlink>
      <w:r w:rsidRPr="006E063F">
        <w:rPr>
          <w:rFonts w:eastAsia="Times New Roman" w:cs="Arial"/>
          <w:sz w:val="20"/>
          <w:szCs w:val="20"/>
          <w:lang w:val="en"/>
        </w:rPr>
        <w:t xml:space="preserve"> </w:t>
      </w:r>
    </w:p>
    <w:p w14:paraId="62ED9F64" w14:textId="77777777" w:rsidR="00C70C9C" w:rsidRPr="006E063F" w:rsidRDefault="00C70C9C" w:rsidP="00C70C9C">
      <w:pPr>
        <w:spacing w:after="0" w:line="240" w:lineRule="auto"/>
        <w:rPr>
          <w:rFonts w:eastAsia="Times New Roman" w:cs="Arial"/>
          <w:sz w:val="20"/>
          <w:szCs w:val="20"/>
          <w:lang w:val="en"/>
        </w:rPr>
      </w:pPr>
      <w:hyperlink r:id="rId16" w:history="1">
        <w:r w:rsidRPr="006E063F">
          <w:rPr>
            <w:rFonts w:eastAsia="Times New Roman" w:cs="Arial"/>
            <w:sz w:val="20"/>
            <w:szCs w:val="20"/>
            <w:u w:val="single"/>
            <w:lang w:val="en"/>
          </w:rPr>
          <w:t>Water &amp; Waste Disposal Loan &amp; Grant Program</w:t>
        </w:r>
      </w:hyperlink>
      <w:r w:rsidRPr="006E063F">
        <w:rPr>
          <w:rFonts w:eastAsia="Times New Roman" w:cs="Arial"/>
          <w:sz w:val="20"/>
          <w:szCs w:val="20"/>
          <w:lang w:val="en"/>
        </w:rPr>
        <w:t xml:space="preserve"> </w:t>
      </w:r>
    </w:p>
    <w:p w14:paraId="5108BCFB" w14:textId="77777777" w:rsidR="00C70C9C" w:rsidRPr="006E063F" w:rsidRDefault="00C70C9C" w:rsidP="00C70C9C">
      <w:pPr>
        <w:spacing w:after="0" w:line="240" w:lineRule="auto"/>
        <w:rPr>
          <w:rFonts w:eastAsia="Times New Roman" w:cs="Arial"/>
          <w:sz w:val="20"/>
          <w:szCs w:val="20"/>
          <w:lang w:val="en"/>
        </w:rPr>
      </w:pPr>
      <w:hyperlink r:id="rId17" w:history="1">
        <w:r w:rsidRPr="006E063F">
          <w:rPr>
            <w:rFonts w:eastAsia="Times New Roman" w:cs="Arial"/>
            <w:sz w:val="20"/>
            <w:szCs w:val="20"/>
            <w:u w:val="single"/>
            <w:lang w:val="en"/>
          </w:rPr>
          <w:t>Water &amp; Waste Disposal Loan Guarantees</w:t>
        </w:r>
      </w:hyperlink>
      <w:r w:rsidRPr="006E063F">
        <w:rPr>
          <w:rFonts w:eastAsia="Times New Roman" w:cs="Arial"/>
          <w:sz w:val="20"/>
          <w:szCs w:val="20"/>
          <w:lang w:val="en"/>
        </w:rPr>
        <w:t xml:space="preserve"> </w:t>
      </w:r>
    </w:p>
    <w:p w14:paraId="5746DA79" w14:textId="77777777" w:rsidR="00C70C9C" w:rsidRPr="006E063F" w:rsidRDefault="00C70C9C" w:rsidP="00C70C9C">
      <w:pPr>
        <w:spacing w:after="0" w:line="240" w:lineRule="auto"/>
        <w:rPr>
          <w:rFonts w:eastAsia="Times New Roman" w:cs="Arial"/>
          <w:sz w:val="20"/>
          <w:szCs w:val="20"/>
          <w:lang w:val="en"/>
        </w:rPr>
      </w:pPr>
      <w:hyperlink r:id="rId18" w:history="1">
        <w:r w:rsidRPr="006E063F">
          <w:rPr>
            <w:rFonts w:eastAsia="Times New Roman" w:cs="Arial"/>
            <w:sz w:val="20"/>
            <w:szCs w:val="20"/>
            <w:u w:val="single"/>
            <w:lang w:val="en"/>
          </w:rPr>
          <w:t>Water &amp; Waste Disposal Predevelopment Planning Grants</w:t>
        </w:r>
      </w:hyperlink>
      <w:r w:rsidRPr="006E063F">
        <w:rPr>
          <w:rFonts w:eastAsia="Times New Roman" w:cs="Arial"/>
          <w:sz w:val="20"/>
          <w:szCs w:val="20"/>
          <w:lang w:val="en"/>
        </w:rPr>
        <w:t xml:space="preserve"> </w:t>
      </w:r>
    </w:p>
    <w:p w14:paraId="5438465F" w14:textId="77777777" w:rsidR="00C70C9C" w:rsidRPr="006E063F" w:rsidRDefault="00C70C9C" w:rsidP="00C70C9C">
      <w:pPr>
        <w:spacing w:after="0" w:line="240" w:lineRule="auto"/>
        <w:rPr>
          <w:rFonts w:eastAsia="Times New Roman" w:cs="Arial"/>
          <w:sz w:val="20"/>
          <w:szCs w:val="20"/>
          <w:lang w:val="en"/>
        </w:rPr>
      </w:pPr>
      <w:hyperlink r:id="rId19" w:history="1">
        <w:r w:rsidRPr="006E063F">
          <w:rPr>
            <w:rFonts w:eastAsia="Times New Roman" w:cs="Arial"/>
            <w:sz w:val="20"/>
            <w:szCs w:val="20"/>
            <w:u w:val="single"/>
            <w:lang w:val="en"/>
          </w:rPr>
          <w:t>Water &amp; Waste Disposal Revolving Loan Funds</w:t>
        </w:r>
      </w:hyperlink>
      <w:r w:rsidRPr="006E063F">
        <w:rPr>
          <w:rFonts w:eastAsia="Times New Roman" w:cs="Arial"/>
          <w:sz w:val="20"/>
          <w:szCs w:val="20"/>
          <w:lang w:val="en"/>
        </w:rPr>
        <w:t xml:space="preserve"> </w:t>
      </w:r>
    </w:p>
    <w:p w14:paraId="0DF0925E" w14:textId="77777777" w:rsidR="00C70C9C" w:rsidRPr="006E063F" w:rsidRDefault="00C70C9C" w:rsidP="00C70C9C">
      <w:pPr>
        <w:spacing w:after="0" w:line="240" w:lineRule="auto"/>
        <w:rPr>
          <w:rFonts w:eastAsia="Times New Roman" w:cs="Arial"/>
          <w:sz w:val="20"/>
          <w:szCs w:val="20"/>
          <w:lang w:val="en"/>
        </w:rPr>
      </w:pPr>
      <w:r w:rsidRPr="006E063F">
        <w:rPr>
          <w:rFonts w:eastAsia="Times New Roman" w:cs="Arial"/>
          <w:sz w:val="20"/>
          <w:szCs w:val="20"/>
          <w:lang w:val="en"/>
        </w:rPr>
        <w:t>Texas Contacts</w:t>
      </w:r>
    </w:p>
    <w:p w14:paraId="612BCA2E" w14:textId="77777777" w:rsidR="00C70C9C" w:rsidRPr="006E063F" w:rsidRDefault="00C70C9C" w:rsidP="00C70C9C">
      <w:pPr>
        <w:spacing w:after="0" w:line="240" w:lineRule="auto"/>
        <w:rPr>
          <w:rFonts w:eastAsia="Times New Roman" w:cs="Arial"/>
          <w:sz w:val="20"/>
          <w:szCs w:val="20"/>
          <w:lang w:val="en"/>
        </w:rPr>
      </w:pPr>
      <w:r w:rsidRPr="006E063F">
        <w:rPr>
          <w:rFonts w:eastAsia="Times New Roman" w:cs="Arial"/>
          <w:b/>
          <w:bCs/>
          <w:sz w:val="20"/>
          <w:szCs w:val="20"/>
          <w:lang w:val="en"/>
        </w:rPr>
        <w:t>State Office Address:</w:t>
      </w:r>
    </w:p>
    <w:p w14:paraId="67F84317" w14:textId="77777777" w:rsidR="00C70C9C" w:rsidRPr="006E063F" w:rsidRDefault="00C70C9C" w:rsidP="00C70C9C">
      <w:pPr>
        <w:spacing w:after="0" w:line="240" w:lineRule="auto"/>
        <w:rPr>
          <w:rFonts w:eastAsia="Times New Roman" w:cs="Arial"/>
          <w:sz w:val="20"/>
          <w:szCs w:val="20"/>
          <w:lang w:val="en"/>
        </w:rPr>
      </w:pPr>
      <w:r w:rsidRPr="006E063F">
        <w:rPr>
          <w:rFonts w:eastAsia="Times New Roman" w:cs="Arial"/>
          <w:sz w:val="20"/>
          <w:szCs w:val="20"/>
          <w:lang w:val="en"/>
        </w:rPr>
        <w:t>101 South Main Street, Suite 102</w:t>
      </w:r>
    </w:p>
    <w:p w14:paraId="3A32B747" w14:textId="77777777" w:rsidR="00C70C9C" w:rsidRPr="006E063F" w:rsidRDefault="00C70C9C" w:rsidP="00C70C9C">
      <w:pPr>
        <w:spacing w:after="0" w:line="240" w:lineRule="auto"/>
        <w:rPr>
          <w:rFonts w:eastAsia="Times New Roman" w:cs="Arial"/>
          <w:sz w:val="20"/>
          <w:szCs w:val="20"/>
          <w:lang w:val="en"/>
        </w:rPr>
      </w:pPr>
      <w:r w:rsidRPr="006E063F">
        <w:rPr>
          <w:rFonts w:eastAsia="Times New Roman" w:cs="Arial"/>
          <w:sz w:val="20"/>
          <w:szCs w:val="20"/>
          <w:lang w:val="en"/>
        </w:rPr>
        <w:t>Temple, Texas 76501</w:t>
      </w:r>
    </w:p>
    <w:p w14:paraId="46ADE42D" w14:textId="77777777" w:rsidR="00C70C9C" w:rsidRPr="006E063F" w:rsidRDefault="00C70C9C" w:rsidP="00C70C9C">
      <w:pPr>
        <w:spacing w:after="0" w:line="240" w:lineRule="auto"/>
        <w:rPr>
          <w:rFonts w:eastAsia="Times New Roman" w:cs="Arial"/>
          <w:sz w:val="20"/>
          <w:szCs w:val="20"/>
          <w:lang w:val="en"/>
        </w:rPr>
      </w:pPr>
      <w:r w:rsidRPr="006E063F">
        <w:rPr>
          <w:rFonts w:eastAsia="Times New Roman" w:cs="Arial"/>
          <w:sz w:val="20"/>
          <w:szCs w:val="20"/>
          <w:lang w:val="en"/>
        </w:rPr>
        <w:t>Michael Canales, Community Programs Director</w:t>
      </w:r>
    </w:p>
    <w:p w14:paraId="181773D5" w14:textId="77777777" w:rsidR="00C70C9C" w:rsidRPr="006E063F" w:rsidRDefault="00C70C9C" w:rsidP="00C70C9C">
      <w:pPr>
        <w:spacing w:after="0" w:line="240" w:lineRule="auto"/>
        <w:rPr>
          <w:rFonts w:eastAsia="Times New Roman" w:cs="Arial"/>
          <w:sz w:val="20"/>
          <w:szCs w:val="20"/>
          <w:lang w:val="en"/>
        </w:rPr>
      </w:pPr>
      <w:r w:rsidRPr="006E063F">
        <w:rPr>
          <w:rFonts w:eastAsia="Times New Roman" w:cs="Arial"/>
          <w:sz w:val="20"/>
          <w:szCs w:val="20"/>
          <w:lang w:val="en"/>
        </w:rPr>
        <w:t>Telephone: (254) 742-9789</w:t>
      </w:r>
    </w:p>
    <w:p w14:paraId="56C371EB" w14:textId="77777777" w:rsidR="00C70C9C" w:rsidRPr="006E063F" w:rsidRDefault="00C70C9C" w:rsidP="00C70C9C">
      <w:pPr>
        <w:spacing w:after="0" w:line="240" w:lineRule="auto"/>
        <w:rPr>
          <w:rFonts w:eastAsia="Times New Roman" w:cs="Arial"/>
          <w:sz w:val="20"/>
          <w:szCs w:val="20"/>
          <w:lang w:val="en"/>
        </w:rPr>
      </w:pPr>
      <w:r w:rsidRPr="006E063F">
        <w:rPr>
          <w:rFonts w:eastAsia="Times New Roman" w:cs="Arial"/>
          <w:sz w:val="20"/>
          <w:szCs w:val="20"/>
          <w:lang w:val="en"/>
        </w:rPr>
        <w:t>Fax: (844) 767-7087</w:t>
      </w:r>
    </w:p>
    <w:p w14:paraId="22F61F69" w14:textId="77777777" w:rsidR="00C70C9C" w:rsidRPr="006E063F" w:rsidRDefault="00C70C9C" w:rsidP="00C70C9C">
      <w:pPr>
        <w:spacing w:after="0" w:line="240" w:lineRule="auto"/>
        <w:rPr>
          <w:rFonts w:eastAsia="Times New Roman" w:cs="Arial"/>
          <w:sz w:val="20"/>
          <w:szCs w:val="20"/>
          <w:lang w:val="en"/>
        </w:rPr>
      </w:pPr>
      <w:r w:rsidRPr="006E063F">
        <w:rPr>
          <w:rFonts w:eastAsia="Times New Roman" w:cs="Arial"/>
          <w:sz w:val="20"/>
          <w:szCs w:val="20"/>
          <w:lang w:val="en"/>
        </w:rPr>
        <w:t xml:space="preserve">Email:  </w:t>
      </w:r>
      <w:hyperlink r:id="rId20" w:history="1">
        <w:r w:rsidRPr="006E063F">
          <w:rPr>
            <w:rFonts w:eastAsia="Times New Roman" w:cs="Arial"/>
            <w:color w:val="0000FF"/>
            <w:sz w:val="20"/>
            <w:szCs w:val="20"/>
            <w:u w:val="single"/>
            <w:lang w:val="en"/>
          </w:rPr>
          <w:t>michael.canales@tx.usda.gov</w:t>
        </w:r>
      </w:hyperlink>
      <w:r w:rsidRPr="006E063F">
        <w:rPr>
          <w:rFonts w:eastAsia="Times New Roman" w:cs="Arial"/>
          <w:sz w:val="20"/>
          <w:szCs w:val="20"/>
          <w:lang w:val="en"/>
        </w:rPr>
        <w:t> </w:t>
      </w:r>
    </w:p>
    <w:p w14:paraId="571FCD38" w14:textId="77777777" w:rsidR="00C70C9C" w:rsidRPr="006E063F" w:rsidRDefault="00C70C9C" w:rsidP="00C70C9C">
      <w:pPr>
        <w:spacing w:after="0" w:line="240" w:lineRule="auto"/>
        <w:rPr>
          <w:rFonts w:eastAsia="Times New Roman" w:cs="Arial"/>
          <w:sz w:val="20"/>
          <w:szCs w:val="20"/>
          <w:lang w:val="en"/>
        </w:rPr>
      </w:pPr>
      <w:r w:rsidRPr="006E063F">
        <w:rPr>
          <w:rFonts w:eastAsia="Times New Roman" w:cs="Arial"/>
          <w:b/>
          <w:bCs/>
          <w:sz w:val="20"/>
          <w:szCs w:val="20"/>
          <w:lang w:val="en"/>
        </w:rPr>
        <w:t>Most loans and grants are originated and serviced in the Area Office.  Please contact the Area Office that services your County.</w:t>
      </w:r>
    </w:p>
    <w:p w14:paraId="7A10C185" w14:textId="6EB97522" w:rsidR="00C70C9C" w:rsidRPr="006E063F" w:rsidRDefault="00C70C9C" w:rsidP="00C70C9C">
      <w:pPr>
        <w:spacing w:after="0" w:line="240" w:lineRule="auto"/>
        <w:rPr>
          <w:rFonts w:eastAsia="Times New Roman" w:cs="Arial"/>
          <w:sz w:val="20"/>
          <w:szCs w:val="20"/>
          <w:lang w:val="en"/>
        </w:rPr>
      </w:pPr>
      <w:r w:rsidRPr="006E063F">
        <w:rPr>
          <w:rFonts w:eastAsia="Times New Roman" w:cs="Arial"/>
          <w:b/>
          <w:bCs/>
          <w:sz w:val="20"/>
          <w:szCs w:val="20"/>
          <w:lang w:val="en"/>
        </w:rPr>
        <w:t>General questions</w:t>
      </w:r>
      <w:r w:rsidR="002E0F5D" w:rsidRPr="006E063F">
        <w:rPr>
          <w:rFonts w:eastAsia="Times New Roman" w:cs="Arial"/>
          <w:b/>
          <w:bCs/>
          <w:sz w:val="20"/>
          <w:szCs w:val="20"/>
          <w:lang w:val="en"/>
        </w:rPr>
        <w:t>: Please</w:t>
      </w:r>
      <w:r w:rsidRPr="006E063F">
        <w:rPr>
          <w:rFonts w:eastAsia="Times New Roman" w:cs="Arial"/>
          <w:b/>
          <w:bCs/>
          <w:sz w:val="20"/>
          <w:szCs w:val="20"/>
          <w:lang w:val="en"/>
        </w:rPr>
        <w:t xml:space="preserve"> call the State Office at (254) </w:t>
      </w:r>
      <w:r w:rsidR="00672FCF" w:rsidRPr="006E063F">
        <w:rPr>
          <w:rFonts w:eastAsia="Times New Roman" w:cs="Arial"/>
          <w:b/>
          <w:bCs/>
          <w:sz w:val="20"/>
          <w:szCs w:val="20"/>
          <w:lang w:val="en"/>
        </w:rPr>
        <w:t>742-9700.</w:t>
      </w:r>
    </w:p>
    <w:p w14:paraId="6FDD05E6" w14:textId="77777777" w:rsidR="00C70C9C" w:rsidRPr="008138A9" w:rsidRDefault="00C70C9C" w:rsidP="00C70C9C">
      <w:pPr>
        <w:spacing w:after="0" w:line="240" w:lineRule="auto"/>
        <w:rPr>
          <w:rFonts w:eastAsia="Times New Roman" w:cs="Arial"/>
          <w:sz w:val="18"/>
          <w:szCs w:val="18"/>
          <w:lang w:val="en"/>
        </w:rPr>
      </w:pPr>
    </w:p>
    <w:p w14:paraId="0D3828B1" w14:textId="77777777" w:rsidR="00C70C9C" w:rsidRPr="008138A9" w:rsidRDefault="00C70C9C" w:rsidP="00C70C9C">
      <w:pPr>
        <w:pStyle w:val="NoSpacing"/>
        <w:rPr>
          <w:rFonts w:eastAsia="Times New Roman"/>
          <w:color w:val="333333"/>
        </w:rPr>
      </w:pPr>
      <w:r w:rsidRPr="008138A9">
        <w:rPr>
          <w:rFonts w:eastAsia="Times New Roman"/>
          <w:b/>
        </w:rPr>
        <w:t xml:space="preserve">CoBank </w:t>
      </w:r>
      <w:r w:rsidRPr="008138A9">
        <w:rPr>
          <w:rFonts w:eastAsia="Times New Roman"/>
        </w:rPr>
        <w:t xml:space="preserve"> </w:t>
      </w:r>
      <w:r w:rsidRPr="008138A9">
        <w:rPr>
          <w:rFonts w:eastAsia="Times New Roman"/>
          <w:color w:val="333333"/>
        </w:rPr>
        <w:t xml:space="preserve">   </w:t>
      </w:r>
    </w:p>
    <w:p w14:paraId="3E7DC393" w14:textId="77777777" w:rsidR="00C70C9C" w:rsidRPr="006E063F" w:rsidRDefault="00C70C9C" w:rsidP="00C70C9C">
      <w:pPr>
        <w:pStyle w:val="NoSpacing"/>
        <w:rPr>
          <w:sz w:val="20"/>
          <w:szCs w:val="20"/>
        </w:rPr>
      </w:pPr>
      <w:r w:rsidRPr="006E063F">
        <w:rPr>
          <w:sz w:val="20"/>
          <w:szCs w:val="20"/>
        </w:rPr>
        <w:t>Many rural Americans depend on CoBank's water customers every time they turn on the tap. Not only are many of our customers in the business of providing clean, safe drinking water to rural areas, but others also process wastewater and deliver other services.</w:t>
      </w:r>
    </w:p>
    <w:p w14:paraId="79C4BDDC" w14:textId="77777777" w:rsidR="008138A9" w:rsidRPr="006E063F" w:rsidRDefault="00C70C9C" w:rsidP="008138A9">
      <w:pPr>
        <w:pStyle w:val="NoSpacing"/>
        <w:rPr>
          <w:sz w:val="20"/>
          <w:szCs w:val="20"/>
        </w:rPr>
      </w:pPr>
      <w:r w:rsidRPr="006E063F">
        <w:rPr>
          <w:sz w:val="20"/>
          <w:szCs w:val="20"/>
        </w:rPr>
        <w:t>CoBank works with water and wastewater not-for-profit associations, municipalities, and investor-owned utility companies to provide the funding required to meet their needs. A large part of this country's water delivery system dates back to the years shortly after World War II when the federal government was building out the nation's infrastructure. But during the past couple of decades federal money for those systems has been reduced and each year, according to the Environmental Protection Agency, the estimated price tag for patching up the infrastructure rises. It's been estimated that more than $335 billion would need to be spent over the next 20 years to upgrade the U.S. water infrastructure.  National Office: CoBank 5500 S. Quebec St., Greenwood Village, CO 80111</w:t>
      </w:r>
      <w:r w:rsidR="008138A9" w:rsidRPr="006E063F">
        <w:rPr>
          <w:sz w:val="20"/>
          <w:szCs w:val="20"/>
        </w:rPr>
        <w:t>.</w:t>
      </w:r>
      <w:r w:rsidRPr="006E063F">
        <w:rPr>
          <w:sz w:val="20"/>
          <w:szCs w:val="20"/>
        </w:rPr>
        <w:t> </w:t>
      </w:r>
    </w:p>
    <w:p w14:paraId="0BB48A80" w14:textId="77777777" w:rsidR="00C70C9C" w:rsidRPr="006E063F" w:rsidRDefault="008138A9" w:rsidP="008138A9">
      <w:pPr>
        <w:pStyle w:val="NoSpacing"/>
        <w:rPr>
          <w:rFonts w:eastAsia="Times New Roman"/>
          <w:color w:val="333333"/>
          <w:sz w:val="20"/>
          <w:szCs w:val="20"/>
        </w:rPr>
      </w:pPr>
      <w:r w:rsidRPr="006E063F">
        <w:rPr>
          <w:sz w:val="20"/>
          <w:szCs w:val="20"/>
        </w:rPr>
        <w:t>(</w:t>
      </w:r>
      <w:r w:rsidR="00C70C9C" w:rsidRPr="006E063F">
        <w:rPr>
          <w:sz w:val="20"/>
          <w:szCs w:val="20"/>
        </w:rPr>
        <w:t>800</w:t>
      </w:r>
      <w:r w:rsidRPr="006E063F">
        <w:rPr>
          <w:sz w:val="20"/>
          <w:szCs w:val="20"/>
        </w:rPr>
        <w:t>)</w:t>
      </w:r>
      <w:r w:rsidR="00C70C9C" w:rsidRPr="006E063F">
        <w:rPr>
          <w:sz w:val="20"/>
          <w:szCs w:val="20"/>
        </w:rPr>
        <w:t>-542-8072</w:t>
      </w:r>
    </w:p>
    <w:p w14:paraId="2832016E" w14:textId="77777777" w:rsidR="008138A9" w:rsidRDefault="008138A9" w:rsidP="00C70C9C">
      <w:pPr>
        <w:rPr>
          <w:rFonts w:eastAsia="Times New Roman" w:cs="Times New Roman"/>
          <w:b/>
        </w:rPr>
      </w:pPr>
    </w:p>
    <w:p w14:paraId="216DA3E4" w14:textId="77777777" w:rsidR="008138A9" w:rsidRDefault="008138A9" w:rsidP="00C70C9C">
      <w:pPr>
        <w:rPr>
          <w:rFonts w:eastAsia="Times New Roman" w:cs="Times New Roman"/>
          <w:b/>
        </w:rPr>
      </w:pPr>
    </w:p>
    <w:p w14:paraId="06352DE2" w14:textId="77777777" w:rsidR="008138A9" w:rsidRDefault="008138A9" w:rsidP="00C70C9C">
      <w:pPr>
        <w:rPr>
          <w:rFonts w:eastAsia="Times New Roman" w:cs="Times New Roman"/>
          <w:b/>
        </w:rPr>
      </w:pPr>
    </w:p>
    <w:p w14:paraId="412DF897" w14:textId="77777777" w:rsidR="008138A9" w:rsidRDefault="008138A9" w:rsidP="00C70C9C">
      <w:pPr>
        <w:rPr>
          <w:rFonts w:eastAsia="Times New Roman" w:cs="Times New Roman"/>
          <w:b/>
        </w:rPr>
      </w:pPr>
    </w:p>
    <w:p w14:paraId="27F5175B" w14:textId="77777777" w:rsidR="002E0F5D" w:rsidRDefault="002E0F5D" w:rsidP="00C70C9C">
      <w:pPr>
        <w:rPr>
          <w:rFonts w:eastAsia="Times New Roman" w:cs="Times New Roman"/>
          <w:b/>
        </w:rPr>
      </w:pPr>
    </w:p>
    <w:p w14:paraId="5EEC58A1" w14:textId="04D62FD1" w:rsidR="00C70C9C" w:rsidRPr="008138A9" w:rsidRDefault="00C70C9C" w:rsidP="00C70C9C">
      <w:pPr>
        <w:rPr>
          <w:rFonts w:eastAsia="Times New Roman"/>
          <w:sz w:val="18"/>
          <w:szCs w:val="18"/>
        </w:rPr>
      </w:pPr>
      <w:r w:rsidRPr="008138A9">
        <w:rPr>
          <w:rFonts w:eastAsia="Times New Roman" w:cs="Times New Roman"/>
          <w:b/>
        </w:rPr>
        <w:lastRenderedPageBreak/>
        <w:t>National Rural Water Association</w:t>
      </w:r>
    </w:p>
    <w:p w14:paraId="2C110669" w14:textId="77777777" w:rsidR="00C70C9C" w:rsidRPr="006E063F" w:rsidRDefault="00C70C9C" w:rsidP="00C70C9C">
      <w:pPr>
        <w:spacing w:after="0" w:line="240" w:lineRule="auto"/>
        <w:rPr>
          <w:rFonts w:eastAsia="Times New Roman" w:cs="Times New Roman"/>
          <w:color w:val="222222"/>
          <w:sz w:val="20"/>
          <w:szCs w:val="20"/>
        </w:rPr>
      </w:pPr>
      <w:r w:rsidRPr="006E063F">
        <w:rPr>
          <w:rFonts w:eastAsia="Times New Roman" w:cs="Times New Roman"/>
          <w:color w:val="222222"/>
          <w:sz w:val="20"/>
          <w:szCs w:val="20"/>
        </w:rPr>
        <w:t>Key Points:</w:t>
      </w:r>
    </w:p>
    <w:p w14:paraId="242FAF88" w14:textId="77777777" w:rsidR="00C70C9C" w:rsidRPr="006E063F" w:rsidRDefault="00C70C9C" w:rsidP="00C70C9C">
      <w:pPr>
        <w:spacing w:after="0" w:line="240" w:lineRule="auto"/>
        <w:rPr>
          <w:rFonts w:eastAsia="Times New Roman" w:cs="Times New Roman"/>
          <w:color w:val="222222"/>
          <w:sz w:val="20"/>
          <w:szCs w:val="20"/>
        </w:rPr>
      </w:pPr>
      <w:r w:rsidRPr="006E063F">
        <w:rPr>
          <w:rFonts w:eastAsia="Times New Roman" w:cs="Times New Roman"/>
          <w:color w:val="222222"/>
          <w:sz w:val="20"/>
          <w:szCs w:val="20"/>
        </w:rPr>
        <w:t>Reasonable, below market interest rate of </w:t>
      </w:r>
      <w:r w:rsidRPr="006E063F">
        <w:rPr>
          <w:rFonts w:eastAsia="Times New Roman" w:cs="Times New Roman"/>
          <w:bCs/>
          <w:color w:val="222222"/>
          <w:sz w:val="20"/>
          <w:szCs w:val="20"/>
        </w:rPr>
        <w:t>3%</w:t>
      </w:r>
      <w:r w:rsidRPr="006E063F">
        <w:rPr>
          <w:rFonts w:eastAsia="Times New Roman" w:cs="Times New Roman"/>
          <w:color w:val="222222"/>
          <w:sz w:val="20"/>
          <w:szCs w:val="20"/>
        </w:rPr>
        <w:t> and a maximum repayment period of </w:t>
      </w:r>
      <w:r w:rsidRPr="006E063F">
        <w:rPr>
          <w:rFonts w:eastAsia="Times New Roman" w:cs="Times New Roman"/>
          <w:bCs/>
          <w:color w:val="222222"/>
          <w:sz w:val="20"/>
          <w:szCs w:val="20"/>
        </w:rPr>
        <w:t>10 years</w:t>
      </w:r>
    </w:p>
    <w:p w14:paraId="546DAF86" w14:textId="77777777" w:rsidR="00C70C9C" w:rsidRPr="006E063F" w:rsidRDefault="00C70C9C" w:rsidP="00C70C9C">
      <w:pPr>
        <w:spacing w:after="0" w:line="240" w:lineRule="auto"/>
        <w:rPr>
          <w:rFonts w:eastAsia="Times New Roman" w:cs="Times New Roman"/>
          <w:color w:val="222222"/>
          <w:sz w:val="20"/>
          <w:szCs w:val="20"/>
        </w:rPr>
      </w:pPr>
      <w:r w:rsidRPr="006E063F">
        <w:rPr>
          <w:rFonts w:eastAsia="Times New Roman" w:cs="Times New Roman"/>
          <w:color w:val="222222"/>
          <w:sz w:val="20"/>
          <w:szCs w:val="20"/>
        </w:rPr>
        <w:t>Straight forward application process and quick turnaround time (just a few days until check is in hand)</w:t>
      </w:r>
    </w:p>
    <w:p w14:paraId="0EF38D96" w14:textId="5852008B" w:rsidR="00C70C9C" w:rsidRPr="006E063F" w:rsidRDefault="00C70C9C" w:rsidP="00C70C9C">
      <w:pPr>
        <w:spacing w:after="0" w:line="240" w:lineRule="auto"/>
        <w:rPr>
          <w:rFonts w:eastAsia="Times New Roman" w:cs="Times New Roman"/>
          <w:color w:val="222222"/>
          <w:sz w:val="20"/>
          <w:szCs w:val="20"/>
        </w:rPr>
      </w:pPr>
      <w:r w:rsidRPr="006E063F">
        <w:rPr>
          <w:rFonts w:eastAsia="Times New Roman" w:cs="Times New Roman"/>
          <w:color w:val="222222"/>
          <w:sz w:val="20"/>
          <w:szCs w:val="20"/>
        </w:rPr>
        <w:t>Loan amounts may not exceed </w:t>
      </w:r>
      <w:r w:rsidRPr="006E063F">
        <w:rPr>
          <w:rFonts w:eastAsia="Times New Roman" w:cs="Times New Roman"/>
          <w:bCs/>
          <w:color w:val="222222"/>
          <w:sz w:val="20"/>
          <w:szCs w:val="20"/>
        </w:rPr>
        <w:t>$100,000</w:t>
      </w:r>
      <w:r w:rsidRPr="006E063F">
        <w:rPr>
          <w:rFonts w:eastAsia="Times New Roman" w:cs="Times New Roman"/>
          <w:color w:val="222222"/>
          <w:sz w:val="20"/>
          <w:szCs w:val="20"/>
        </w:rPr>
        <w:t> or </w:t>
      </w:r>
      <w:r w:rsidRPr="006E063F">
        <w:rPr>
          <w:rFonts w:eastAsia="Times New Roman" w:cs="Times New Roman"/>
          <w:bCs/>
          <w:color w:val="222222"/>
          <w:sz w:val="20"/>
          <w:szCs w:val="20"/>
        </w:rPr>
        <w:t>75% of the total project cost</w:t>
      </w:r>
      <w:r w:rsidRPr="006E063F">
        <w:rPr>
          <w:rFonts w:eastAsia="Times New Roman" w:cs="Times New Roman"/>
          <w:color w:val="222222"/>
          <w:sz w:val="20"/>
          <w:szCs w:val="20"/>
        </w:rPr>
        <w:t xml:space="preserve">, whichever is </w:t>
      </w:r>
      <w:r w:rsidR="00672FCF" w:rsidRPr="006E063F">
        <w:rPr>
          <w:rFonts w:eastAsia="Times New Roman" w:cs="Times New Roman"/>
          <w:color w:val="222222"/>
          <w:sz w:val="20"/>
          <w:szCs w:val="20"/>
        </w:rPr>
        <w:t>less.</w:t>
      </w:r>
    </w:p>
    <w:p w14:paraId="308B682B" w14:textId="7CF33B85" w:rsidR="00C70C9C" w:rsidRPr="006E063F" w:rsidRDefault="00C70C9C" w:rsidP="00C70C9C">
      <w:pPr>
        <w:spacing w:after="0" w:line="240" w:lineRule="auto"/>
        <w:rPr>
          <w:rFonts w:eastAsia="Times New Roman" w:cs="Times New Roman"/>
          <w:color w:val="222222"/>
          <w:sz w:val="20"/>
          <w:szCs w:val="20"/>
        </w:rPr>
      </w:pPr>
      <w:r w:rsidRPr="006E063F">
        <w:rPr>
          <w:rFonts w:eastAsia="Times New Roman" w:cs="Times New Roman"/>
          <w:color w:val="222222"/>
          <w:sz w:val="20"/>
          <w:szCs w:val="20"/>
        </w:rPr>
        <w:t>Financing is available for </w:t>
      </w:r>
      <w:r w:rsidRPr="006E063F">
        <w:rPr>
          <w:rFonts w:eastAsia="Times New Roman" w:cs="Times New Roman"/>
          <w:bCs/>
          <w:color w:val="222222"/>
          <w:sz w:val="20"/>
          <w:szCs w:val="20"/>
        </w:rPr>
        <w:t>pre-development</w:t>
      </w:r>
      <w:r w:rsidRPr="006E063F">
        <w:rPr>
          <w:rFonts w:eastAsia="Times New Roman" w:cs="Times New Roman"/>
          <w:color w:val="222222"/>
          <w:sz w:val="20"/>
          <w:szCs w:val="20"/>
        </w:rPr>
        <w:t> (planning) costs for projects and for replacement </w:t>
      </w:r>
      <w:r w:rsidRPr="006E063F">
        <w:rPr>
          <w:rFonts w:eastAsia="Times New Roman" w:cs="Times New Roman"/>
          <w:bCs/>
          <w:color w:val="222222"/>
          <w:sz w:val="20"/>
          <w:szCs w:val="20"/>
        </w:rPr>
        <w:t xml:space="preserve">equipment, system upgrades, maintenance and small capital </w:t>
      </w:r>
      <w:r w:rsidR="00672FCF" w:rsidRPr="006E063F">
        <w:rPr>
          <w:rFonts w:eastAsia="Times New Roman" w:cs="Times New Roman"/>
          <w:bCs/>
          <w:color w:val="222222"/>
          <w:sz w:val="20"/>
          <w:szCs w:val="20"/>
        </w:rPr>
        <w:t>projects.</w:t>
      </w:r>
    </w:p>
    <w:p w14:paraId="6F2807B2" w14:textId="0F3999E0" w:rsidR="00C70C9C" w:rsidRPr="006E063F" w:rsidRDefault="00C70C9C" w:rsidP="00C70C9C">
      <w:pPr>
        <w:spacing w:after="0" w:line="240" w:lineRule="auto"/>
        <w:rPr>
          <w:rFonts w:eastAsia="Times New Roman" w:cs="Times New Roman"/>
          <w:color w:val="222222"/>
          <w:sz w:val="20"/>
          <w:szCs w:val="20"/>
        </w:rPr>
      </w:pPr>
      <w:r w:rsidRPr="006E063F">
        <w:rPr>
          <w:rFonts w:eastAsia="Times New Roman" w:cs="Times New Roman"/>
          <w:color w:val="222222"/>
          <w:sz w:val="20"/>
          <w:szCs w:val="20"/>
        </w:rPr>
        <w:t>New focus on </w:t>
      </w:r>
      <w:r w:rsidRPr="006E063F">
        <w:rPr>
          <w:rFonts w:eastAsia="Times New Roman" w:cs="Times New Roman"/>
          <w:bCs/>
          <w:color w:val="222222"/>
          <w:sz w:val="20"/>
          <w:szCs w:val="20"/>
        </w:rPr>
        <w:t>energy efficiency projects</w:t>
      </w:r>
      <w:r w:rsidRPr="006E063F">
        <w:rPr>
          <w:rFonts w:eastAsia="Times New Roman" w:cs="Times New Roman"/>
          <w:color w:val="222222"/>
          <w:sz w:val="20"/>
          <w:szCs w:val="20"/>
        </w:rPr>
        <w:t xml:space="preserve"> that improve water system sustainability through lower energy costs, providing consumers with more affordable water and wastewater </w:t>
      </w:r>
      <w:r w:rsidR="00672FCF" w:rsidRPr="006E063F">
        <w:rPr>
          <w:rFonts w:eastAsia="Times New Roman" w:cs="Times New Roman"/>
          <w:color w:val="222222"/>
          <w:sz w:val="20"/>
          <w:szCs w:val="20"/>
        </w:rPr>
        <w:t>services.</w:t>
      </w:r>
    </w:p>
    <w:p w14:paraId="6DBC1BD7" w14:textId="022926E6" w:rsidR="00C70C9C" w:rsidRPr="006E063F" w:rsidRDefault="00C70C9C" w:rsidP="00C70C9C">
      <w:pPr>
        <w:spacing w:after="0" w:line="240" w:lineRule="auto"/>
        <w:rPr>
          <w:rFonts w:eastAsia="Times New Roman" w:cs="Times New Roman"/>
          <w:color w:val="222222"/>
          <w:sz w:val="20"/>
          <w:szCs w:val="20"/>
        </w:rPr>
      </w:pPr>
      <w:r w:rsidRPr="006E063F">
        <w:rPr>
          <w:rFonts w:eastAsia="Times New Roman" w:cs="Times New Roman"/>
          <w:color w:val="222222"/>
          <w:sz w:val="20"/>
          <w:szCs w:val="20"/>
        </w:rPr>
        <w:t>NRWA charges </w:t>
      </w:r>
      <w:r w:rsidRPr="006E063F">
        <w:rPr>
          <w:rFonts w:eastAsia="Times New Roman" w:cs="Times New Roman"/>
          <w:bCs/>
          <w:color w:val="222222"/>
          <w:sz w:val="20"/>
          <w:szCs w:val="20"/>
        </w:rPr>
        <w:t>no administrative or processing fees</w:t>
      </w:r>
      <w:r w:rsidRPr="006E063F">
        <w:rPr>
          <w:rFonts w:eastAsia="Times New Roman" w:cs="Times New Roman"/>
          <w:color w:val="222222"/>
          <w:sz w:val="20"/>
          <w:szCs w:val="20"/>
        </w:rPr>
        <w:t> to further capitalize on available funds - 100% of revolved funds are reinvested in the </w:t>
      </w:r>
      <w:r w:rsidR="00672FCF" w:rsidRPr="006E063F">
        <w:rPr>
          <w:rFonts w:eastAsia="Times New Roman" w:cs="Times New Roman"/>
          <w:color w:val="222222"/>
          <w:sz w:val="20"/>
          <w:szCs w:val="20"/>
        </w:rPr>
        <w:t>program.</w:t>
      </w:r>
    </w:p>
    <w:p w14:paraId="648501C3" w14:textId="0195134B" w:rsidR="00C70C9C" w:rsidRPr="006E063F" w:rsidRDefault="00C70C9C" w:rsidP="00C70C9C">
      <w:pPr>
        <w:spacing w:after="0" w:line="240" w:lineRule="auto"/>
        <w:rPr>
          <w:rFonts w:eastAsia="Times New Roman" w:cs="Times New Roman"/>
          <w:color w:val="222222"/>
          <w:sz w:val="20"/>
          <w:szCs w:val="20"/>
        </w:rPr>
      </w:pPr>
      <w:r w:rsidRPr="006E063F">
        <w:rPr>
          <w:rFonts w:eastAsia="Times New Roman" w:cs="Times New Roman"/>
          <w:color w:val="222222"/>
          <w:sz w:val="20"/>
          <w:szCs w:val="20"/>
        </w:rPr>
        <w:t xml:space="preserve">Systems must be public entities - including municipalities, counties, special purpose districts, Native American Tribes and corporations not operated for profit (cooperatives), with up to 10,000 population and rural areas with no population </w:t>
      </w:r>
      <w:r w:rsidR="00672FCF" w:rsidRPr="006E063F">
        <w:rPr>
          <w:rFonts w:eastAsia="Times New Roman" w:cs="Times New Roman"/>
          <w:color w:val="222222"/>
          <w:sz w:val="20"/>
          <w:szCs w:val="20"/>
        </w:rPr>
        <w:t>limits.</w:t>
      </w:r>
    </w:p>
    <w:p w14:paraId="5DA17D04" w14:textId="77777777" w:rsidR="008138A9" w:rsidRPr="006E063F" w:rsidRDefault="00C70C9C" w:rsidP="00C70C9C">
      <w:pPr>
        <w:spacing w:after="0" w:line="240" w:lineRule="auto"/>
        <w:rPr>
          <w:rFonts w:eastAsia="Times New Roman" w:cs="Times New Roman"/>
          <w:color w:val="222222"/>
          <w:sz w:val="20"/>
          <w:szCs w:val="20"/>
        </w:rPr>
      </w:pPr>
      <w:r w:rsidRPr="006E063F">
        <w:rPr>
          <w:rFonts w:eastAsia="Times New Roman" w:cs="Times New Roman"/>
          <w:color w:val="222222"/>
          <w:sz w:val="20"/>
          <w:szCs w:val="20"/>
        </w:rPr>
        <w:t xml:space="preserve">Contact information: National Rural Water Association (800)-332-8715,  </w:t>
      </w:r>
    </w:p>
    <w:p w14:paraId="1745E0DE" w14:textId="77777777" w:rsidR="00C70C9C" w:rsidRPr="006E063F" w:rsidRDefault="00C70C9C" w:rsidP="00C70C9C">
      <w:pPr>
        <w:spacing w:after="0" w:line="240" w:lineRule="auto"/>
        <w:rPr>
          <w:rFonts w:eastAsia="Times New Roman" w:cs="Times New Roman"/>
          <w:color w:val="222222"/>
          <w:sz w:val="20"/>
          <w:szCs w:val="20"/>
        </w:rPr>
      </w:pPr>
      <w:r w:rsidRPr="006E063F">
        <w:rPr>
          <w:rFonts w:eastAsia="Times New Roman" w:cs="Times New Roman"/>
          <w:color w:val="222222"/>
          <w:sz w:val="20"/>
          <w:szCs w:val="20"/>
        </w:rPr>
        <w:t>2915 S. 13</w:t>
      </w:r>
      <w:r w:rsidRPr="006E063F">
        <w:rPr>
          <w:rFonts w:eastAsia="Times New Roman" w:cs="Times New Roman"/>
          <w:color w:val="222222"/>
          <w:sz w:val="20"/>
          <w:szCs w:val="20"/>
          <w:vertAlign w:val="superscript"/>
        </w:rPr>
        <w:t>th</w:t>
      </w:r>
      <w:r w:rsidRPr="006E063F">
        <w:rPr>
          <w:rFonts w:eastAsia="Times New Roman" w:cs="Times New Roman"/>
          <w:color w:val="222222"/>
          <w:sz w:val="20"/>
          <w:szCs w:val="20"/>
        </w:rPr>
        <w:t xml:space="preserve"> Street, Duncan, Oklahoma 73533</w:t>
      </w:r>
    </w:p>
    <w:p w14:paraId="6ED05307" w14:textId="77777777" w:rsidR="00C70C9C" w:rsidRPr="006E063F" w:rsidRDefault="00C70C9C" w:rsidP="00C70C9C">
      <w:pPr>
        <w:spacing w:after="0" w:line="240" w:lineRule="auto"/>
        <w:rPr>
          <w:rFonts w:eastAsia="Times New Roman" w:cs="Times New Roman"/>
          <w:color w:val="222222"/>
          <w:sz w:val="20"/>
          <w:szCs w:val="20"/>
        </w:rPr>
      </w:pPr>
      <w:r w:rsidRPr="006E063F">
        <w:rPr>
          <w:rFonts w:eastAsia="Times New Roman" w:cs="Times New Roman"/>
          <w:color w:val="222222"/>
          <w:sz w:val="20"/>
          <w:szCs w:val="20"/>
        </w:rPr>
        <w:t>To access the following referenced funding sites please use this link below:</w:t>
      </w:r>
    </w:p>
    <w:p w14:paraId="490E1E17" w14:textId="77777777" w:rsidR="00C70C9C" w:rsidRPr="006E063F" w:rsidRDefault="00C70C9C" w:rsidP="00C70C9C">
      <w:pPr>
        <w:spacing w:after="0" w:line="240" w:lineRule="auto"/>
        <w:rPr>
          <w:rFonts w:eastAsia="Times New Roman" w:cs="Times New Roman"/>
          <w:color w:val="222222"/>
          <w:sz w:val="20"/>
          <w:szCs w:val="20"/>
        </w:rPr>
      </w:pPr>
      <w:hyperlink r:id="rId21" w:history="1">
        <w:r w:rsidRPr="006E063F">
          <w:rPr>
            <w:rFonts w:eastAsia="Times New Roman" w:cs="Times New Roman"/>
            <w:color w:val="0000FF"/>
            <w:sz w:val="20"/>
            <w:szCs w:val="20"/>
            <w:u w:val="single"/>
          </w:rPr>
          <w:t>https://www.tceq.texas.gov/assistance/water/water-and-wastewater-funding-sources</w:t>
        </w:r>
      </w:hyperlink>
    </w:p>
    <w:p w14:paraId="3DA53D96" w14:textId="77777777" w:rsidR="00C70C9C" w:rsidRPr="00A6534B" w:rsidRDefault="00C70C9C" w:rsidP="00C70C9C">
      <w:pPr>
        <w:spacing w:after="0" w:line="240" w:lineRule="auto"/>
        <w:rPr>
          <w:rFonts w:eastAsia="Times New Roman" w:cs="Tahoma"/>
          <w:b/>
          <w:bCs/>
          <w:color w:val="000000"/>
          <w:kern w:val="36"/>
          <w:sz w:val="20"/>
          <w:szCs w:val="20"/>
          <w:lang w:val="en"/>
        </w:rPr>
      </w:pPr>
    </w:p>
    <w:p w14:paraId="0738662F" w14:textId="77777777" w:rsidR="00C70C9C" w:rsidRPr="00A6534B" w:rsidRDefault="00C70C9C" w:rsidP="00C70C9C">
      <w:pPr>
        <w:spacing w:after="0" w:line="240" w:lineRule="auto"/>
        <w:rPr>
          <w:rFonts w:eastAsia="Times New Roman" w:cs="Tahoma"/>
          <w:b/>
          <w:bCs/>
          <w:color w:val="000000"/>
          <w:kern w:val="36"/>
          <w:sz w:val="20"/>
          <w:szCs w:val="20"/>
          <w:lang w:val="en"/>
        </w:rPr>
      </w:pPr>
    </w:p>
    <w:p w14:paraId="19B4BF84" w14:textId="77777777" w:rsidR="00C70C9C" w:rsidRPr="008138A9" w:rsidRDefault="00C70C9C" w:rsidP="00C70C9C">
      <w:pPr>
        <w:spacing w:after="0" w:line="240" w:lineRule="auto"/>
        <w:rPr>
          <w:rFonts w:eastAsia="Times New Roman" w:cs="Tahoma"/>
          <w:b/>
          <w:bCs/>
          <w:color w:val="000000"/>
          <w:kern w:val="36"/>
          <w:lang w:val="en"/>
        </w:rPr>
      </w:pPr>
      <w:r w:rsidRPr="008138A9">
        <w:rPr>
          <w:rFonts w:eastAsia="Times New Roman" w:cs="Tahoma"/>
          <w:b/>
          <w:bCs/>
          <w:color w:val="000000"/>
          <w:kern w:val="36"/>
          <w:lang w:val="en"/>
        </w:rPr>
        <w:t xml:space="preserve">Water and Wastewater Funding Sources </w:t>
      </w:r>
    </w:p>
    <w:p w14:paraId="4623E566" w14:textId="77777777" w:rsidR="00C70C9C" w:rsidRPr="008138A9" w:rsidRDefault="00C70C9C" w:rsidP="00C70C9C">
      <w:pPr>
        <w:spacing w:after="0" w:line="240" w:lineRule="auto"/>
        <w:rPr>
          <w:rFonts w:eastAsia="Times New Roman" w:cs="Tahoma"/>
          <w:b/>
          <w:bCs/>
          <w:color w:val="000000"/>
          <w:kern w:val="36"/>
          <w:lang w:val="en"/>
        </w:rPr>
      </w:pPr>
    </w:p>
    <w:p w14:paraId="6A24479A" w14:textId="77777777" w:rsidR="00C70C9C" w:rsidRPr="008138A9" w:rsidRDefault="00C70C9C" w:rsidP="00C70C9C">
      <w:pPr>
        <w:spacing w:after="0" w:line="240" w:lineRule="auto"/>
        <w:rPr>
          <w:rFonts w:eastAsia="Times New Roman" w:cs="Tahoma"/>
          <w:b/>
          <w:bCs/>
          <w:color w:val="000000"/>
          <w:lang w:val="en"/>
        </w:rPr>
      </w:pPr>
      <w:r w:rsidRPr="008138A9">
        <w:rPr>
          <w:rFonts w:eastAsia="Times New Roman" w:cs="Tahoma"/>
          <w:b/>
          <w:bCs/>
          <w:color w:val="000000"/>
          <w:lang w:val="en"/>
        </w:rPr>
        <w:t>Texas Water Development Board (TWDB) Funding Sources</w:t>
      </w:r>
    </w:p>
    <w:p w14:paraId="0CDBDF13" w14:textId="77777777" w:rsidR="00C70C9C" w:rsidRPr="006E063F" w:rsidRDefault="00C70C9C" w:rsidP="00C70C9C">
      <w:pPr>
        <w:spacing w:after="0" w:line="240" w:lineRule="auto"/>
        <w:rPr>
          <w:rFonts w:eastAsia="Times New Roman" w:cs="Tahoma"/>
          <w:color w:val="000000"/>
          <w:sz w:val="20"/>
          <w:szCs w:val="20"/>
          <w:lang w:val="en"/>
        </w:rPr>
      </w:pPr>
      <w:r w:rsidRPr="006E063F">
        <w:rPr>
          <w:rFonts w:eastAsia="Times New Roman" w:cs="Tahoma"/>
          <w:color w:val="000000"/>
          <w:sz w:val="20"/>
          <w:szCs w:val="20"/>
          <w:lang w:val="en"/>
        </w:rPr>
        <w:t xml:space="preserve">The </w:t>
      </w:r>
      <w:hyperlink r:id="rId22" w:tgtFrame="_self" w:tooltip="Texas Water Development Fund" w:history="1">
        <w:r w:rsidRPr="006E063F">
          <w:rPr>
            <w:rFonts w:eastAsia="Times New Roman" w:cs="Tahoma"/>
            <w:b/>
            <w:bCs/>
            <w:color w:val="526B87"/>
            <w:sz w:val="20"/>
            <w:szCs w:val="20"/>
            <w:u w:val="single"/>
            <w:bdr w:val="none" w:sz="0" w:space="0" w:color="auto" w:frame="1"/>
            <w:lang w:val="en"/>
          </w:rPr>
          <w:t>Texas Water Development Fund (TWDF)</w:t>
        </w:r>
      </w:hyperlink>
      <w:r w:rsidRPr="006E063F">
        <w:rPr>
          <w:rFonts w:eastAsia="Times New Roman" w:cs="Tahoma"/>
          <w:vanish/>
          <w:color w:val="000000"/>
          <w:sz w:val="20"/>
          <w:szCs w:val="20"/>
          <w:lang w:val="en"/>
        </w:rPr>
        <w:t>[4]</w:t>
      </w:r>
      <w:r w:rsidRPr="006E063F">
        <w:rPr>
          <w:rFonts w:eastAsia="Times New Roman" w:cs="Tahoma"/>
          <w:bCs/>
          <w:color w:val="000000"/>
          <w:sz w:val="20"/>
          <w:szCs w:val="20"/>
          <w:lang w:val="en"/>
        </w:rPr>
        <w:t> </w:t>
      </w:r>
      <w:r w:rsidRPr="006E063F">
        <w:rPr>
          <w:rFonts w:eastAsia="Times New Roman" w:cs="Tahoma"/>
          <w:bCs/>
          <w:noProof/>
          <w:color w:val="000000"/>
          <w:sz w:val="20"/>
          <w:szCs w:val="20"/>
        </w:rPr>
        <w:drawing>
          <wp:inline distT="0" distB="0" distL="0" distR="0" wp14:anchorId="233E5443" wp14:editId="29334C9B">
            <wp:extent cx="123825" cy="123825"/>
            <wp:effectExtent l="0" t="0" r="9525" b="9525"/>
            <wp:docPr id="14" name="Picture 14" descr="Exit the TC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it the TCEQ"/>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E063F">
        <w:rPr>
          <w:rFonts w:eastAsia="Times New Roman" w:cs="Tahoma"/>
          <w:color w:val="000000"/>
          <w:sz w:val="20"/>
          <w:szCs w:val="20"/>
          <w:lang w:val="en"/>
        </w:rPr>
        <w:t xml:space="preserve"> is a streamlined, state loan program. The program includes loans for water supply, conservation, water quality enhancement, flood control, and municipal solid waste. The flexibility of this program allows the TWDB to fund projects with both water and wastewater-related purposes in one loan while offering low-interest rates.</w:t>
      </w:r>
    </w:p>
    <w:p w14:paraId="6A09A69B" w14:textId="77777777" w:rsidR="00C70C9C" w:rsidRPr="006E063F" w:rsidRDefault="00C70C9C" w:rsidP="00C70C9C">
      <w:pPr>
        <w:spacing w:after="0" w:line="240" w:lineRule="auto"/>
        <w:rPr>
          <w:rFonts w:eastAsia="Times New Roman" w:cs="Tahoma"/>
          <w:color w:val="000000"/>
          <w:sz w:val="20"/>
          <w:szCs w:val="20"/>
          <w:lang w:val="en"/>
        </w:rPr>
      </w:pPr>
      <w:r w:rsidRPr="006E063F">
        <w:rPr>
          <w:rFonts w:eastAsia="Times New Roman" w:cs="Tahoma"/>
          <w:color w:val="000000"/>
          <w:sz w:val="20"/>
          <w:szCs w:val="20"/>
          <w:lang w:val="en"/>
        </w:rPr>
        <w:t xml:space="preserve">The </w:t>
      </w:r>
      <w:hyperlink r:id="rId25" w:tgtFrame="_self" w:tooltip="Economically Distressed Areas Program" w:history="1">
        <w:r w:rsidRPr="006E063F">
          <w:rPr>
            <w:rFonts w:eastAsia="Times New Roman" w:cs="Tahoma"/>
            <w:b/>
            <w:bCs/>
            <w:color w:val="526B87"/>
            <w:sz w:val="20"/>
            <w:szCs w:val="20"/>
            <w:u w:val="single"/>
            <w:bdr w:val="none" w:sz="0" w:space="0" w:color="auto" w:frame="1"/>
            <w:lang w:val="en"/>
          </w:rPr>
          <w:t>Economically Distressed Areas Program (EDAP)</w:t>
        </w:r>
      </w:hyperlink>
      <w:r w:rsidRPr="006E063F">
        <w:rPr>
          <w:rFonts w:eastAsia="Times New Roman" w:cs="Tahoma"/>
          <w:bCs/>
          <w:vanish/>
          <w:color w:val="000000"/>
          <w:sz w:val="20"/>
          <w:szCs w:val="20"/>
          <w:lang w:val="en"/>
        </w:rPr>
        <w:t>[5]</w:t>
      </w:r>
      <w:r w:rsidRPr="006E063F">
        <w:rPr>
          <w:rFonts w:eastAsia="Times New Roman" w:cs="Tahoma"/>
          <w:bCs/>
          <w:color w:val="000000"/>
          <w:sz w:val="20"/>
          <w:szCs w:val="20"/>
          <w:lang w:val="en"/>
        </w:rPr>
        <w:t> </w:t>
      </w:r>
      <w:r w:rsidRPr="006E063F">
        <w:rPr>
          <w:rFonts w:eastAsia="Times New Roman" w:cs="Tahoma"/>
          <w:bCs/>
          <w:noProof/>
          <w:color w:val="000000"/>
          <w:sz w:val="20"/>
          <w:szCs w:val="20"/>
        </w:rPr>
        <w:drawing>
          <wp:inline distT="0" distB="0" distL="0" distR="0" wp14:anchorId="300EADFA" wp14:editId="3E35173A">
            <wp:extent cx="123825" cy="123825"/>
            <wp:effectExtent l="0" t="0" r="9525" b="9525"/>
            <wp:docPr id="15" name="Picture 15" descr="Exit the TC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it the TCEQ"/>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E063F">
        <w:rPr>
          <w:rFonts w:eastAsia="Times New Roman" w:cs="Tahoma"/>
          <w:color w:val="000000"/>
          <w:sz w:val="20"/>
          <w:szCs w:val="20"/>
          <w:lang w:val="en"/>
        </w:rPr>
        <w:t xml:space="preserve"> provides financial assistance in the form of a grant or a combination grant/loan for water and wastewater services to economically distressed areas where services do not exist or existing systems do not meet state standards. The program also includes measures to prevent future substandard development by requiring Model Subdivision Rules.</w:t>
      </w:r>
    </w:p>
    <w:p w14:paraId="0F4965D3" w14:textId="77777777" w:rsidR="00C70C9C" w:rsidRPr="006E063F" w:rsidRDefault="00C70C9C" w:rsidP="00C70C9C">
      <w:pPr>
        <w:spacing w:after="0" w:line="240" w:lineRule="auto"/>
        <w:rPr>
          <w:rFonts w:eastAsia="Times New Roman" w:cs="Tahoma"/>
          <w:color w:val="000000"/>
          <w:sz w:val="20"/>
          <w:szCs w:val="20"/>
          <w:lang w:val="en"/>
        </w:rPr>
      </w:pPr>
      <w:r w:rsidRPr="006E063F">
        <w:rPr>
          <w:rFonts w:eastAsia="Times New Roman" w:cs="Tahoma"/>
          <w:color w:val="000000"/>
          <w:sz w:val="20"/>
          <w:szCs w:val="20"/>
          <w:lang w:val="en"/>
        </w:rPr>
        <w:t xml:space="preserve">The </w:t>
      </w:r>
      <w:hyperlink r:id="rId26" w:tgtFrame="_self" w:tooltip="Rural Water Assistance Fund" w:history="1">
        <w:r w:rsidRPr="006E063F">
          <w:rPr>
            <w:rFonts w:eastAsia="Times New Roman" w:cs="Tahoma"/>
            <w:b/>
            <w:bCs/>
            <w:color w:val="526B87"/>
            <w:sz w:val="20"/>
            <w:szCs w:val="20"/>
            <w:u w:val="single"/>
            <w:bdr w:val="none" w:sz="0" w:space="0" w:color="auto" w:frame="1"/>
            <w:lang w:val="en"/>
          </w:rPr>
          <w:t>Rural Water Assistance Fund (RWAF)</w:t>
        </w:r>
      </w:hyperlink>
      <w:r w:rsidRPr="006E063F">
        <w:rPr>
          <w:rFonts w:eastAsia="Times New Roman" w:cs="Tahoma"/>
          <w:bCs/>
          <w:vanish/>
          <w:color w:val="000000"/>
          <w:sz w:val="20"/>
          <w:szCs w:val="20"/>
          <w:lang w:val="en"/>
        </w:rPr>
        <w:t>[6]</w:t>
      </w:r>
      <w:r w:rsidRPr="006E063F">
        <w:rPr>
          <w:rFonts w:eastAsia="Times New Roman" w:cs="Tahoma"/>
          <w:bCs/>
          <w:color w:val="000000"/>
          <w:sz w:val="20"/>
          <w:szCs w:val="20"/>
          <w:lang w:val="en"/>
        </w:rPr>
        <w:t> </w:t>
      </w:r>
      <w:r w:rsidRPr="006E063F">
        <w:rPr>
          <w:rFonts w:eastAsia="Times New Roman" w:cs="Tahoma"/>
          <w:bCs/>
          <w:noProof/>
          <w:color w:val="000000"/>
          <w:sz w:val="20"/>
          <w:szCs w:val="20"/>
        </w:rPr>
        <w:drawing>
          <wp:inline distT="0" distB="0" distL="0" distR="0" wp14:anchorId="15C8E9E2" wp14:editId="57C14676">
            <wp:extent cx="123825" cy="123825"/>
            <wp:effectExtent l="0" t="0" r="9525" b="9525"/>
            <wp:docPr id="19" name="Picture 19" descr="Exit the TC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it the TCEQ"/>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E063F">
        <w:rPr>
          <w:rFonts w:eastAsia="Times New Roman" w:cs="Tahoma"/>
          <w:bCs/>
          <w:color w:val="000000"/>
          <w:sz w:val="20"/>
          <w:szCs w:val="20"/>
          <w:lang w:val="en"/>
        </w:rPr>
        <w:t xml:space="preserve"> </w:t>
      </w:r>
      <w:r w:rsidRPr="006E063F">
        <w:rPr>
          <w:rFonts w:eastAsia="Times New Roman" w:cs="Tahoma"/>
          <w:color w:val="000000"/>
          <w:sz w:val="20"/>
          <w:szCs w:val="20"/>
          <w:lang w:val="en"/>
        </w:rPr>
        <w:t>provides small rural water utilities with low-cost financing for water and wastewater construction projects. The TWDB offers attractive interest rate loans with long-term finance options. In addition, entities, such as water supply corporations, who generally utilize taxable financing, are able to access lower interest rate loans through the program.</w:t>
      </w:r>
    </w:p>
    <w:p w14:paraId="0DD3F725" w14:textId="77777777" w:rsidR="00C70C9C" w:rsidRPr="006E063F" w:rsidRDefault="00C70C9C" w:rsidP="00C70C9C">
      <w:pPr>
        <w:spacing w:after="0" w:line="240" w:lineRule="auto"/>
        <w:rPr>
          <w:rFonts w:eastAsia="Times New Roman" w:cs="Tahoma"/>
          <w:color w:val="000000"/>
          <w:sz w:val="20"/>
          <w:szCs w:val="20"/>
          <w:lang w:val="en"/>
        </w:rPr>
      </w:pPr>
      <w:r w:rsidRPr="006E063F">
        <w:rPr>
          <w:rFonts w:eastAsia="Times New Roman" w:cs="Tahoma"/>
          <w:color w:val="000000"/>
          <w:sz w:val="20"/>
          <w:szCs w:val="20"/>
          <w:lang w:val="en"/>
        </w:rPr>
        <w:t xml:space="preserve">The </w:t>
      </w:r>
      <w:hyperlink r:id="rId27" w:tgtFrame="_self" w:tooltip="State Participation Program" w:history="1">
        <w:r w:rsidRPr="006E063F">
          <w:rPr>
            <w:rFonts w:eastAsia="Times New Roman" w:cs="Tahoma"/>
            <w:b/>
            <w:bCs/>
            <w:color w:val="526B87"/>
            <w:sz w:val="20"/>
            <w:szCs w:val="20"/>
            <w:u w:val="single"/>
            <w:bdr w:val="none" w:sz="0" w:space="0" w:color="auto" w:frame="1"/>
            <w:lang w:val="en"/>
          </w:rPr>
          <w:t>State Participation Program (SPP)</w:t>
        </w:r>
      </w:hyperlink>
      <w:r w:rsidRPr="006E063F">
        <w:rPr>
          <w:rFonts w:eastAsia="Times New Roman" w:cs="Tahoma"/>
          <w:bCs/>
          <w:vanish/>
          <w:color w:val="000000"/>
          <w:sz w:val="20"/>
          <w:szCs w:val="20"/>
          <w:lang w:val="en"/>
        </w:rPr>
        <w:t>[7]</w:t>
      </w:r>
      <w:r w:rsidRPr="006E063F">
        <w:rPr>
          <w:rFonts w:eastAsia="Times New Roman" w:cs="Tahoma"/>
          <w:bCs/>
          <w:color w:val="000000"/>
          <w:sz w:val="20"/>
          <w:szCs w:val="20"/>
          <w:lang w:val="en"/>
        </w:rPr>
        <w:t> </w:t>
      </w:r>
      <w:r w:rsidRPr="006E063F">
        <w:rPr>
          <w:rFonts w:eastAsia="Times New Roman" w:cs="Tahoma"/>
          <w:bCs/>
          <w:noProof/>
          <w:color w:val="000000"/>
          <w:sz w:val="20"/>
          <w:szCs w:val="20"/>
        </w:rPr>
        <w:drawing>
          <wp:inline distT="0" distB="0" distL="0" distR="0" wp14:anchorId="2CB90206" wp14:editId="508F5BE6">
            <wp:extent cx="123825" cy="123825"/>
            <wp:effectExtent l="0" t="0" r="9525" b="9525"/>
            <wp:docPr id="20" name="Picture 20" descr="Exit the TC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it the TCEQ"/>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E063F">
        <w:rPr>
          <w:rFonts w:eastAsia="Times New Roman" w:cs="Tahoma"/>
          <w:color w:val="000000"/>
          <w:sz w:val="20"/>
          <w:szCs w:val="20"/>
          <w:lang w:val="en"/>
        </w:rPr>
        <w:t xml:space="preserve"> enables the TWDB to assume a temporary ownership interest in a regional project when the local sponsors are unable to assume the total debt for an optimally sized facility. The project sponsor then repurchases the TWDB’s interest in the project under a payment schedule that allows for the deferral of principal and interest payments.</w:t>
      </w:r>
    </w:p>
    <w:p w14:paraId="17BCEF5B" w14:textId="77777777" w:rsidR="00C70C9C" w:rsidRPr="006E063F" w:rsidRDefault="00C70C9C" w:rsidP="00C70C9C">
      <w:pPr>
        <w:spacing w:after="0" w:line="240" w:lineRule="auto"/>
        <w:rPr>
          <w:rFonts w:eastAsia="Times New Roman" w:cs="Tahoma"/>
          <w:color w:val="000000"/>
          <w:sz w:val="20"/>
          <w:szCs w:val="20"/>
          <w:lang w:val="en"/>
        </w:rPr>
      </w:pPr>
      <w:r w:rsidRPr="006E063F">
        <w:rPr>
          <w:rFonts w:eastAsia="Times New Roman" w:cs="Tahoma"/>
          <w:color w:val="000000"/>
          <w:sz w:val="20"/>
          <w:szCs w:val="20"/>
          <w:lang w:val="en"/>
        </w:rPr>
        <w:t xml:space="preserve">The </w:t>
      </w:r>
      <w:hyperlink r:id="rId28" w:tgtFrame="_self" w:tooltip="State Water Plan Funding" w:history="1">
        <w:r w:rsidRPr="006E063F">
          <w:rPr>
            <w:rFonts w:eastAsia="Times New Roman" w:cs="Tahoma"/>
            <w:b/>
            <w:bCs/>
            <w:color w:val="526B87"/>
            <w:sz w:val="20"/>
            <w:szCs w:val="20"/>
            <w:u w:val="single"/>
            <w:bdr w:val="none" w:sz="0" w:space="0" w:color="auto" w:frame="1"/>
            <w:lang w:val="en"/>
          </w:rPr>
          <w:t>State Water Plan Funding</w:t>
        </w:r>
      </w:hyperlink>
      <w:r w:rsidRPr="006E063F">
        <w:rPr>
          <w:rFonts w:eastAsia="Times New Roman" w:cs="Tahoma"/>
          <w:bCs/>
          <w:vanish/>
          <w:color w:val="000000"/>
          <w:sz w:val="20"/>
          <w:szCs w:val="20"/>
          <w:lang w:val="en"/>
        </w:rPr>
        <w:t>[8]</w:t>
      </w:r>
      <w:r w:rsidRPr="006E063F">
        <w:rPr>
          <w:rFonts w:eastAsia="Times New Roman" w:cs="Tahoma"/>
          <w:bCs/>
          <w:color w:val="000000"/>
          <w:sz w:val="20"/>
          <w:szCs w:val="20"/>
          <w:lang w:val="en"/>
        </w:rPr>
        <w:t> </w:t>
      </w:r>
      <w:r w:rsidRPr="006E063F">
        <w:rPr>
          <w:rFonts w:eastAsia="Times New Roman" w:cs="Tahoma"/>
          <w:bCs/>
          <w:noProof/>
          <w:color w:val="000000"/>
          <w:sz w:val="20"/>
          <w:szCs w:val="20"/>
        </w:rPr>
        <w:drawing>
          <wp:inline distT="0" distB="0" distL="0" distR="0" wp14:anchorId="26C5577B" wp14:editId="7BB9C3C0">
            <wp:extent cx="123825" cy="123825"/>
            <wp:effectExtent l="0" t="0" r="9525" b="9525"/>
            <wp:docPr id="22" name="Picture 22" descr="Exit the TC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it the TCEQ"/>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E063F">
        <w:rPr>
          <w:rFonts w:eastAsia="Times New Roman" w:cs="Tahoma"/>
          <w:color w:val="000000"/>
          <w:sz w:val="20"/>
          <w:szCs w:val="20"/>
          <w:lang w:val="en"/>
        </w:rPr>
        <w:t xml:space="preserve"> provides for financing of</w:t>
      </w:r>
      <w:r w:rsidRPr="006E063F">
        <w:rPr>
          <w:rFonts w:eastAsia="Times New Roman" w:cs="Tahoma"/>
          <w:bCs/>
          <w:color w:val="000000"/>
          <w:sz w:val="20"/>
          <w:szCs w:val="20"/>
          <w:lang w:val="en"/>
        </w:rPr>
        <w:t xml:space="preserve"> </w:t>
      </w:r>
      <w:r w:rsidRPr="006E063F">
        <w:rPr>
          <w:rFonts w:eastAsia="Times New Roman" w:cs="Tahoma"/>
          <w:color w:val="000000"/>
          <w:sz w:val="20"/>
          <w:szCs w:val="20"/>
          <w:lang w:val="en"/>
        </w:rPr>
        <w:t>projects in the state water plan. Projects will be prioritized based on legislative direction and are required to be recommended strategies in the state water plan. The program provides loans at interest rates lower than those offered by commercial markets, and extended repayment terms. Projects include water conservation and reuse, desalting groundwater and seawater, building new pipelines, developing reservoirs and well fields, and many more.</w:t>
      </w:r>
    </w:p>
    <w:p w14:paraId="46373047" w14:textId="77777777" w:rsidR="00C70C9C" w:rsidRPr="006E063F" w:rsidRDefault="00C70C9C" w:rsidP="00C70C9C">
      <w:pPr>
        <w:spacing w:after="0" w:line="240" w:lineRule="auto"/>
        <w:rPr>
          <w:rFonts w:eastAsia="Times New Roman" w:cs="Tahoma"/>
          <w:color w:val="000000"/>
          <w:sz w:val="20"/>
          <w:szCs w:val="20"/>
          <w:lang w:val="en"/>
        </w:rPr>
      </w:pPr>
      <w:hyperlink r:id="rId29" w:tgtFrame="_self" w:tooltip="TWDB Contact List" w:history="1">
        <w:r w:rsidRPr="006E063F">
          <w:rPr>
            <w:rFonts w:eastAsia="Times New Roman" w:cs="Tahoma"/>
            <w:b/>
            <w:bCs/>
            <w:color w:val="526B87"/>
            <w:sz w:val="20"/>
            <w:szCs w:val="20"/>
            <w:u w:val="single"/>
            <w:bdr w:val="none" w:sz="0" w:space="0" w:color="auto" w:frame="1"/>
            <w:lang w:val="en"/>
          </w:rPr>
          <w:t>Texas Water Development Board Contact List</w:t>
        </w:r>
      </w:hyperlink>
      <w:r w:rsidRPr="006E063F">
        <w:rPr>
          <w:rFonts w:eastAsia="Times New Roman" w:cs="Tahoma"/>
          <w:bCs/>
          <w:vanish/>
          <w:color w:val="000000"/>
          <w:sz w:val="20"/>
          <w:szCs w:val="20"/>
          <w:lang w:val="en"/>
        </w:rPr>
        <w:t>[9]</w:t>
      </w:r>
      <w:r w:rsidRPr="006E063F">
        <w:rPr>
          <w:rFonts w:eastAsia="Times New Roman" w:cs="Tahoma"/>
          <w:bCs/>
          <w:color w:val="000000"/>
          <w:sz w:val="20"/>
          <w:szCs w:val="20"/>
          <w:lang w:val="en"/>
        </w:rPr>
        <w:t> </w:t>
      </w:r>
      <w:r w:rsidRPr="006E063F">
        <w:rPr>
          <w:rFonts w:eastAsia="Times New Roman" w:cs="Tahoma"/>
          <w:bCs/>
          <w:noProof/>
          <w:color w:val="000000"/>
          <w:sz w:val="20"/>
          <w:szCs w:val="20"/>
        </w:rPr>
        <w:drawing>
          <wp:inline distT="0" distB="0" distL="0" distR="0" wp14:anchorId="20979430" wp14:editId="721CBD97">
            <wp:extent cx="123825" cy="123825"/>
            <wp:effectExtent l="0" t="0" r="9525" b="9525"/>
            <wp:docPr id="23" name="Picture 23" descr="Exit the TC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it the TCEQ"/>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E063F">
        <w:rPr>
          <w:rFonts w:eastAsia="Times New Roman" w:cs="Tahoma"/>
          <w:color w:val="000000"/>
          <w:sz w:val="20"/>
          <w:szCs w:val="20"/>
          <w:lang w:val="en"/>
        </w:rPr>
        <w:t xml:space="preserve"> — contact list for the Texas Water Development Board's financial assistance programs by region.</w:t>
      </w:r>
    </w:p>
    <w:p w14:paraId="4E43F2CD" w14:textId="77777777" w:rsidR="00C70C9C" w:rsidRDefault="00C70C9C" w:rsidP="00C70C9C">
      <w:pPr>
        <w:spacing w:after="0" w:line="240" w:lineRule="auto"/>
        <w:rPr>
          <w:rFonts w:eastAsia="Times New Roman" w:cs="Tahoma"/>
          <w:b/>
          <w:bCs/>
          <w:color w:val="000000"/>
          <w:sz w:val="24"/>
          <w:szCs w:val="24"/>
          <w:lang w:val="en"/>
        </w:rPr>
      </w:pPr>
    </w:p>
    <w:p w14:paraId="1FC6889A" w14:textId="77777777" w:rsidR="00C70C9C" w:rsidRDefault="00C70C9C" w:rsidP="00C70C9C">
      <w:pPr>
        <w:spacing w:after="0" w:line="240" w:lineRule="auto"/>
        <w:rPr>
          <w:rFonts w:eastAsia="Times New Roman" w:cs="Tahoma"/>
          <w:b/>
          <w:bCs/>
          <w:color w:val="000000"/>
          <w:sz w:val="24"/>
          <w:szCs w:val="24"/>
          <w:lang w:val="en"/>
        </w:rPr>
      </w:pPr>
    </w:p>
    <w:p w14:paraId="1E734587" w14:textId="77777777" w:rsidR="008138A9" w:rsidRDefault="008138A9" w:rsidP="00C70C9C">
      <w:pPr>
        <w:spacing w:after="0" w:line="240" w:lineRule="auto"/>
        <w:rPr>
          <w:rFonts w:eastAsia="Times New Roman" w:cs="Tahoma"/>
          <w:b/>
          <w:bCs/>
          <w:color w:val="000000"/>
          <w:sz w:val="24"/>
          <w:szCs w:val="24"/>
          <w:lang w:val="en"/>
        </w:rPr>
      </w:pPr>
    </w:p>
    <w:p w14:paraId="473F0DC1" w14:textId="77777777" w:rsidR="006E063F" w:rsidRDefault="006E063F" w:rsidP="00C70C9C">
      <w:pPr>
        <w:spacing w:after="0" w:line="240" w:lineRule="auto"/>
        <w:rPr>
          <w:rFonts w:eastAsia="Times New Roman" w:cs="Tahoma"/>
          <w:b/>
          <w:bCs/>
          <w:color w:val="000000"/>
          <w:sz w:val="24"/>
          <w:szCs w:val="24"/>
          <w:lang w:val="en"/>
        </w:rPr>
      </w:pPr>
    </w:p>
    <w:p w14:paraId="58FF8A6A" w14:textId="77777777" w:rsidR="00C70C9C" w:rsidRPr="008138A9" w:rsidRDefault="00C70C9C" w:rsidP="00C70C9C">
      <w:pPr>
        <w:spacing w:after="0" w:line="240" w:lineRule="auto"/>
        <w:rPr>
          <w:rFonts w:eastAsia="Times New Roman" w:cs="Tahoma"/>
          <w:color w:val="000000"/>
          <w:lang w:val="en"/>
        </w:rPr>
      </w:pPr>
      <w:r w:rsidRPr="008138A9">
        <w:rPr>
          <w:rFonts w:eastAsia="Times New Roman" w:cs="Tahoma"/>
          <w:b/>
          <w:bCs/>
          <w:color w:val="000000"/>
          <w:lang w:val="en"/>
        </w:rPr>
        <w:lastRenderedPageBreak/>
        <w:t>U.S. Environmental Protection Agency (EPA) Funding Sources</w:t>
      </w:r>
    </w:p>
    <w:p w14:paraId="5E6DF486" w14:textId="77777777" w:rsidR="00C70C9C" w:rsidRPr="006E063F" w:rsidRDefault="00C70C9C" w:rsidP="00C70C9C">
      <w:pPr>
        <w:spacing w:after="0" w:line="240" w:lineRule="auto"/>
        <w:rPr>
          <w:rFonts w:eastAsia="Times New Roman" w:cs="Tahoma"/>
          <w:color w:val="000000"/>
          <w:sz w:val="20"/>
          <w:szCs w:val="20"/>
          <w:lang w:val="en"/>
        </w:rPr>
      </w:pPr>
      <w:r w:rsidRPr="006E063F">
        <w:rPr>
          <w:rFonts w:eastAsia="Times New Roman" w:cs="Tahoma"/>
          <w:color w:val="000000"/>
          <w:sz w:val="20"/>
          <w:szCs w:val="20"/>
          <w:lang w:val="en"/>
        </w:rPr>
        <w:t xml:space="preserve">The </w:t>
      </w:r>
      <w:hyperlink r:id="rId30" w:tgtFrame="_self" w:tooltip="Clean Water State Revolving Fund" w:history="1">
        <w:r w:rsidRPr="006E063F">
          <w:rPr>
            <w:rFonts w:eastAsia="Times New Roman" w:cs="Tahoma"/>
            <w:b/>
            <w:bCs/>
            <w:color w:val="526B87"/>
            <w:sz w:val="20"/>
            <w:szCs w:val="20"/>
            <w:u w:val="single"/>
            <w:bdr w:val="none" w:sz="0" w:space="0" w:color="auto" w:frame="1"/>
            <w:lang w:val="en"/>
          </w:rPr>
          <w:t>Clean Water State Revolving Fund (CWSRF)</w:t>
        </w:r>
      </w:hyperlink>
      <w:r w:rsidRPr="006E063F">
        <w:rPr>
          <w:rFonts w:eastAsia="Times New Roman" w:cs="Tahoma"/>
          <w:bCs/>
          <w:vanish/>
          <w:color w:val="000000"/>
          <w:sz w:val="20"/>
          <w:szCs w:val="20"/>
          <w:lang w:val="en"/>
        </w:rPr>
        <w:t>[10]</w:t>
      </w:r>
      <w:r w:rsidRPr="006E063F">
        <w:rPr>
          <w:rFonts w:eastAsia="Times New Roman" w:cs="Tahoma"/>
          <w:bCs/>
          <w:color w:val="000000"/>
          <w:sz w:val="20"/>
          <w:szCs w:val="20"/>
          <w:lang w:val="en"/>
        </w:rPr>
        <w:t> </w:t>
      </w:r>
      <w:r w:rsidRPr="006E063F">
        <w:rPr>
          <w:rFonts w:eastAsia="Times New Roman" w:cs="Tahoma"/>
          <w:bCs/>
          <w:noProof/>
          <w:color w:val="000000"/>
          <w:sz w:val="20"/>
          <w:szCs w:val="20"/>
        </w:rPr>
        <w:drawing>
          <wp:inline distT="0" distB="0" distL="0" distR="0" wp14:anchorId="53A246FC" wp14:editId="138A1894">
            <wp:extent cx="123825" cy="123825"/>
            <wp:effectExtent l="0" t="0" r="9525" b="9525"/>
            <wp:docPr id="25" name="Picture 25" descr="Exit the TC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it the TCEQ"/>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E063F">
        <w:rPr>
          <w:rFonts w:eastAsia="Times New Roman" w:cs="Tahoma"/>
          <w:bCs/>
          <w:color w:val="000000"/>
          <w:sz w:val="20"/>
          <w:szCs w:val="20"/>
          <w:lang w:val="en"/>
        </w:rPr>
        <w:t xml:space="preserve"> </w:t>
      </w:r>
      <w:r w:rsidRPr="006E063F">
        <w:rPr>
          <w:rFonts w:eastAsia="Times New Roman" w:cs="Tahoma"/>
          <w:color w:val="000000"/>
          <w:sz w:val="20"/>
          <w:szCs w:val="20"/>
          <w:lang w:val="en"/>
        </w:rPr>
        <w:t>provides loans for wastewater-related projects at interest rates lower than those offered by commercial markets. Projects include treatment facilities, collection systems, storm water and nonpoint source pollution control and estuary management. The program also provides additional subsidies, in the form of loan forgiveness, for applicants meeting certain program criteria, such as disadvantaged communities or green infrastructure.</w:t>
      </w:r>
    </w:p>
    <w:p w14:paraId="3B4AA7B9" w14:textId="77777777" w:rsidR="00C70C9C" w:rsidRDefault="00C70C9C" w:rsidP="00C70C9C">
      <w:pPr>
        <w:spacing w:after="0" w:line="240" w:lineRule="auto"/>
        <w:rPr>
          <w:rFonts w:eastAsia="Times New Roman" w:cs="Tahoma"/>
          <w:color w:val="000000"/>
          <w:sz w:val="20"/>
          <w:szCs w:val="20"/>
          <w:lang w:val="en"/>
        </w:rPr>
      </w:pPr>
      <w:r w:rsidRPr="006E063F">
        <w:rPr>
          <w:rFonts w:eastAsia="Times New Roman" w:cs="Tahoma"/>
          <w:color w:val="000000"/>
          <w:sz w:val="20"/>
          <w:szCs w:val="20"/>
          <w:lang w:val="en"/>
        </w:rPr>
        <w:t xml:space="preserve">The </w:t>
      </w:r>
      <w:hyperlink r:id="rId31" w:tgtFrame="_self" w:tooltip="Drinking Water State Revolving Fund (DWSRF)" w:history="1">
        <w:r w:rsidRPr="006E063F">
          <w:rPr>
            <w:rFonts w:eastAsia="Times New Roman" w:cs="Tahoma"/>
            <w:b/>
            <w:bCs/>
            <w:color w:val="526B87"/>
            <w:sz w:val="20"/>
            <w:szCs w:val="20"/>
            <w:u w:val="single"/>
            <w:bdr w:val="none" w:sz="0" w:space="0" w:color="auto" w:frame="1"/>
            <w:lang w:val="en"/>
          </w:rPr>
          <w:t xml:space="preserve">Drinking Water State Revolving Fund </w:t>
        </w:r>
      </w:hyperlink>
      <w:r w:rsidRPr="006E063F">
        <w:rPr>
          <w:rFonts w:eastAsia="Times New Roman" w:cs="Tahoma"/>
          <w:vanish/>
          <w:color w:val="000000"/>
          <w:sz w:val="20"/>
          <w:szCs w:val="20"/>
          <w:lang w:val="en"/>
        </w:rPr>
        <w:t>[11]</w:t>
      </w:r>
      <w:hyperlink r:id="rId32" w:tgtFrame="_self" w:tooltip="Drinking Water State Revolving Fund (DWSRF)" w:history="1">
        <w:r w:rsidRPr="006E063F">
          <w:rPr>
            <w:rFonts w:eastAsia="Times New Roman" w:cs="Tahoma"/>
            <w:b/>
            <w:bCs/>
            <w:color w:val="526B87"/>
            <w:sz w:val="20"/>
            <w:szCs w:val="20"/>
            <w:u w:val="single"/>
            <w:bdr w:val="none" w:sz="0" w:space="0" w:color="auto" w:frame="1"/>
            <w:lang w:val="en"/>
          </w:rPr>
          <w:t>(DWSRF)</w:t>
        </w:r>
      </w:hyperlink>
      <w:r w:rsidRPr="006E063F">
        <w:rPr>
          <w:rFonts w:eastAsia="Times New Roman" w:cs="Tahoma"/>
          <w:bCs/>
          <w:vanish/>
          <w:color w:val="000000"/>
          <w:sz w:val="20"/>
          <w:szCs w:val="20"/>
          <w:lang w:val="en"/>
        </w:rPr>
        <w:t>[12]</w:t>
      </w:r>
      <w:r w:rsidRPr="006E063F">
        <w:rPr>
          <w:rFonts w:eastAsia="Times New Roman" w:cs="Tahoma"/>
          <w:bCs/>
          <w:color w:val="000000"/>
          <w:sz w:val="20"/>
          <w:szCs w:val="20"/>
          <w:lang w:val="en"/>
        </w:rPr>
        <w:t> </w:t>
      </w:r>
      <w:r w:rsidRPr="006E063F">
        <w:rPr>
          <w:rFonts w:eastAsia="Times New Roman" w:cs="Tahoma"/>
          <w:bCs/>
          <w:noProof/>
          <w:color w:val="000000"/>
          <w:sz w:val="20"/>
          <w:szCs w:val="20"/>
        </w:rPr>
        <w:drawing>
          <wp:inline distT="0" distB="0" distL="0" distR="0" wp14:anchorId="33DD8FE0" wp14:editId="55E5615C">
            <wp:extent cx="123825" cy="123825"/>
            <wp:effectExtent l="0" t="0" r="9525" b="9525"/>
            <wp:docPr id="26" name="Picture 26" descr="Exit the TC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it the TCEQ"/>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E063F">
        <w:rPr>
          <w:rFonts w:eastAsia="Times New Roman" w:cs="Tahoma"/>
          <w:bCs/>
          <w:color w:val="000000"/>
          <w:sz w:val="20"/>
          <w:szCs w:val="20"/>
          <w:lang w:val="en"/>
        </w:rPr>
        <w:t xml:space="preserve"> </w:t>
      </w:r>
      <w:r w:rsidRPr="006E063F">
        <w:rPr>
          <w:rFonts w:eastAsia="Times New Roman" w:cs="Tahoma"/>
          <w:color w:val="000000"/>
          <w:sz w:val="20"/>
          <w:szCs w:val="20"/>
          <w:lang w:val="en"/>
        </w:rPr>
        <w:t>provides loans for drinking water projects at interest rates lower than those offered by commercial markets. Projects include treatment facilities, distribution systems, consolidation, and source water protection. The program also provides additional subsidies, in the form of loan forgiveness, for applicants meeting certain program criteria, such as disadvantaged communities or green infrastructure.</w:t>
      </w:r>
    </w:p>
    <w:p w14:paraId="3A114564" w14:textId="77777777" w:rsidR="006E063F" w:rsidRPr="006E063F" w:rsidRDefault="006E063F" w:rsidP="00C70C9C">
      <w:pPr>
        <w:spacing w:after="0" w:line="240" w:lineRule="auto"/>
        <w:rPr>
          <w:rFonts w:eastAsia="Times New Roman" w:cs="Tahoma"/>
          <w:color w:val="000000"/>
          <w:sz w:val="20"/>
          <w:szCs w:val="20"/>
          <w:lang w:val="en"/>
        </w:rPr>
      </w:pPr>
    </w:p>
    <w:p w14:paraId="439FD75B" w14:textId="77777777" w:rsidR="00C70C9C" w:rsidRPr="008138A9" w:rsidRDefault="00C70C9C" w:rsidP="00C70C9C">
      <w:pPr>
        <w:spacing w:after="0" w:line="240" w:lineRule="auto"/>
        <w:rPr>
          <w:rFonts w:eastAsia="Times New Roman" w:cs="Tahoma"/>
          <w:b/>
          <w:bCs/>
          <w:color w:val="000000"/>
          <w:lang w:val="en"/>
        </w:rPr>
      </w:pPr>
      <w:r w:rsidRPr="008138A9">
        <w:rPr>
          <w:rFonts w:eastAsia="Times New Roman" w:cs="Tahoma"/>
          <w:b/>
          <w:bCs/>
          <w:color w:val="000000"/>
          <w:lang w:val="en"/>
        </w:rPr>
        <w:t>Texas Water Infrastructure Coordination Committee (TWICC)</w:t>
      </w:r>
    </w:p>
    <w:p w14:paraId="6615A994" w14:textId="2B7E3430" w:rsidR="00C70C9C" w:rsidRPr="006E063F" w:rsidRDefault="00C70C9C" w:rsidP="00C70C9C">
      <w:pPr>
        <w:spacing w:after="0" w:line="240" w:lineRule="auto"/>
        <w:rPr>
          <w:rFonts w:eastAsia="Times New Roman" w:cs="Tahoma"/>
          <w:color w:val="000000"/>
          <w:sz w:val="20"/>
          <w:szCs w:val="20"/>
          <w:lang w:val="en"/>
        </w:rPr>
      </w:pPr>
      <w:r w:rsidRPr="006E063F">
        <w:rPr>
          <w:rFonts w:eastAsia="Times New Roman" w:cs="Tahoma"/>
          <w:color w:val="000000"/>
          <w:sz w:val="20"/>
          <w:szCs w:val="20"/>
          <w:lang w:val="en"/>
        </w:rPr>
        <w:t>The </w:t>
      </w:r>
      <w:hyperlink r:id="rId33" w:tgtFrame="_self" w:history="1">
        <w:r w:rsidRPr="006E063F">
          <w:rPr>
            <w:rFonts w:eastAsia="Times New Roman" w:cs="Tahoma"/>
            <w:b/>
            <w:bCs/>
            <w:color w:val="526B87"/>
            <w:sz w:val="20"/>
            <w:szCs w:val="20"/>
            <w:u w:val="single"/>
            <w:bdr w:val="none" w:sz="0" w:space="0" w:color="auto" w:frame="1"/>
            <w:lang w:val="en"/>
          </w:rPr>
          <w:t>Texas Water Infrastructure Coordination Committee (TWICC)</w:t>
        </w:r>
      </w:hyperlink>
      <w:r w:rsidRPr="006E063F">
        <w:rPr>
          <w:rFonts w:eastAsia="Times New Roman" w:cs="Tahoma"/>
          <w:vanish/>
          <w:color w:val="000000"/>
          <w:sz w:val="20"/>
          <w:szCs w:val="20"/>
          <w:lang w:val="en"/>
        </w:rPr>
        <w:t>[13]</w:t>
      </w:r>
      <w:r w:rsidRPr="006E063F">
        <w:rPr>
          <w:rFonts w:eastAsia="Times New Roman" w:cs="Tahoma"/>
          <w:color w:val="000000"/>
          <w:sz w:val="20"/>
          <w:szCs w:val="20"/>
          <w:lang w:val="en"/>
        </w:rPr>
        <w:t xml:space="preserve"> </w:t>
      </w:r>
      <w:r w:rsidRPr="006E063F">
        <w:rPr>
          <w:rFonts w:eastAsia="Times New Roman" w:cs="Tahoma"/>
          <w:bCs/>
          <w:noProof/>
          <w:color w:val="000000"/>
          <w:sz w:val="20"/>
          <w:szCs w:val="20"/>
        </w:rPr>
        <w:drawing>
          <wp:inline distT="0" distB="0" distL="0" distR="0" wp14:anchorId="5BD4F038" wp14:editId="13108078">
            <wp:extent cx="123825" cy="123825"/>
            <wp:effectExtent l="0" t="0" r="9525" b="9525"/>
            <wp:docPr id="27" name="Picture 27" descr="Exit the TC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it the TCEQ"/>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E063F">
        <w:rPr>
          <w:rFonts w:eastAsia="Times New Roman" w:cs="Tahoma"/>
          <w:color w:val="000000"/>
          <w:sz w:val="20"/>
          <w:szCs w:val="20"/>
          <w:lang w:val="en"/>
        </w:rPr>
        <w:t>is comprised of state and federal funding agencies, technical assistance providers, water and waste water trade organizations, and regulatory agencies.  The purpose of the TWICC is to identify and develop solutions to water and wastewater infrastructure compliance issues and to seek affordable, sustainable and innovative funding strategies for the protection of public health and the efficient use of government resources in Texas</w:t>
      </w:r>
      <w:r w:rsidR="00192BE3" w:rsidRPr="006E063F">
        <w:rPr>
          <w:rFonts w:eastAsia="Times New Roman" w:cs="Tahoma"/>
          <w:color w:val="000000"/>
          <w:sz w:val="20"/>
          <w:szCs w:val="20"/>
          <w:lang w:val="en"/>
        </w:rPr>
        <w:t xml:space="preserve">. </w:t>
      </w:r>
    </w:p>
    <w:p w14:paraId="681785B4" w14:textId="77777777" w:rsidR="00C70C9C" w:rsidRPr="00A6534B" w:rsidRDefault="00C70C9C" w:rsidP="00C70C9C">
      <w:pPr>
        <w:spacing w:after="0" w:line="240" w:lineRule="auto"/>
        <w:rPr>
          <w:rFonts w:eastAsia="Times New Roman" w:cs="Tahoma"/>
          <w:color w:val="000000"/>
          <w:sz w:val="20"/>
          <w:szCs w:val="20"/>
          <w:lang w:val="en"/>
        </w:rPr>
      </w:pPr>
    </w:p>
    <w:p w14:paraId="69713CA7" w14:textId="77777777" w:rsidR="00C70C9C" w:rsidRPr="00A6534B" w:rsidRDefault="00C70C9C" w:rsidP="00C70C9C">
      <w:pPr>
        <w:spacing w:after="0" w:line="240" w:lineRule="auto"/>
        <w:rPr>
          <w:rFonts w:eastAsia="Times New Roman" w:cs="Times New Roman"/>
          <w:sz w:val="20"/>
          <w:szCs w:val="20"/>
        </w:rPr>
      </w:pPr>
      <w:r w:rsidRPr="008138A9">
        <w:rPr>
          <w:rFonts w:eastAsia="Times New Roman" w:cs="Times New Roman"/>
          <w:b/>
        </w:rPr>
        <w:t>LOCAL BANKS</w:t>
      </w:r>
      <w:r w:rsidRPr="00A6534B">
        <w:rPr>
          <w:rFonts w:eastAsia="Times New Roman" w:cs="Times New Roman"/>
          <w:sz w:val="20"/>
          <w:szCs w:val="20"/>
        </w:rPr>
        <w:t xml:space="preserve"> </w:t>
      </w:r>
      <w:r w:rsidRPr="006E063F">
        <w:rPr>
          <w:rFonts w:eastAsia="Times New Roman" w:cs="Times New Roman"/>
          <w:sz w:val="20"/>
          <w:szCs w:val="20"/>
        </w:rPr>
        <w:t xml:space="preserve">are more open to lending to Water and Wastewater </w:t>
      </w:r>
      <w:r w:rsidR="008138A9" w:rsidRPr="006E063F">
        <w:rPr>
          <w:rFonts w:eastAsia="Times New Roman" w:cs="Times New Roman"/>
          <w:sz w:val="20"/>
          <w:szCs w:val="20"/>
        </w:rPr>
        <w:t>systems and</w:t>
      </w:r>
      <w:r w:rsidRPr="006E063F">
        <w:rPr>
          <w:rFonts w:eastAsia="Times New Roman" w:cs="Times New Roman"/>
          <w:sz w:val="20"/>
          <w:szCs w:val="20"/>
        </w:rPr>
        <w:t xml:space="preserve"> should be considered as a possible lender for some of the system’s projects.</w:t>
      </w:r>
    </w:p>
    <w:p w14:paraId="3830D2F2" w14:textId="77777777" w:rsidR="00C70C9C" w:rsidRPr="00A6534B" w:rsidRDefault="00C70C9C" w:rsidP="00C70C9C">
      <w:pPr>
        <w:rPr>
          <w:sz w:val="20"/>
          <w:szCs w:val="20"/>
        </w:rPr>
      </w:pPr>
    </w:p>
    <w:p w14:paraId="4419668E" w14:textId="77777777" w:rsidR="00C70C9C" w:rsidRPr="00A6534B" w:rsidRDefault="00C70C9C" w:rsidP="00C70C9C">
      <w:pPr>
        <w:rPr>
          <w:sz w:val="20"/>
          <w:szCs w:val="20"/>
        </w:rPr>
      </w:pPr>
    </w:p>
    <w:p w14:paraId="1D802ADB" w14:textId="77777777" w:rsidR="00C70C9C" w:rsidRPr="00A6534B" w:rsidRDefault="00C70C9C" w:rsidP="00C70C9C">
      <w:pPr>
        <w:rPr>
          <w:sz w:val="20"/>
          <w:szCs w:val="20"/>
        </w:rPr>
      </w:pPr>
    </w:p>
    <w:p w14:paraId="58F8E228" w14:textId="77777777" w:rsidR="00C70C9C" w:rsidRPr="008138A9" w:rsidRDefault="00C70C9C" w:rsidP="00C70C9C">
      <w:pPr>
        <w:rPr>
          <w:b/>
        </w:rPr>
      </w:pPr>
      <w:r w:rsidRPr="008138A9">
        <w:rPr>
          <w:b/>
        </w:rPr>
        <w:t>Attachments:</w:t>
      </w:r>
    </w:p>
    <w:p w14:paraId="5F090720" w14:textId="77777777" w:rsidR="00C70C9C" w:rsidRPr="006E063F" w:rsidRDefault="00C70C9C" w:rsidP="00C70C9C">
      <w:pPr>
        <w:pStyle w:val="ListParagraph"/>
        <w:numPr>
          <w:ilvl w:val="0"/>
          <w:numId w:val="2"/>
        </w:numPr>
        <w:rPr>
          <w:b/>
          <w:sz w:val="20"/>
          <w:szCs w:val="20"/>
        </w:rPr>
      </w:pPr>
      <w:r w:rsidRPr="006E063F">
        <w:rPr>
          <w:sz w:val="20"/>
          <w:szCs w:val="20"/>
        </w:rPr>
        <w:t>Energy Assessment Savings Table.</w:t>
      </w:r>
    </w:p>
    <w:p w14:paraId="10DC902E" w14:textId="7AE63FAE" w:rsidR="00C70C9C" w:rsidRPr="00FB4A11" w:rsidRDefault="00C70C9C" w:rsidP="00FB4A11">
      <w:pPr>
        <w:pStyle w:val="ListParagraph"/>
        <w:numPr>
          <w:ilvl w:val="0"/>
          <w:numId w:val="2"/>
        </w:numPr>
        <w:rPr>
          <w:b/>
          <w:sz w:val="20"/>
          <w:szCs w:val="20"/>
        </w:rPr>
      </w:pPr>
      <w:r w:rsidRPr="006E063F">
        <w:rPr>
          <w:sz w:val="20"/>
          <w:szCs w:val="20"/>
        </w:rPr>
        <w:t>Electric and Cost Savings Analysis Spreadsheet.</w:t>
      </w:r>
    </w:p>
    <w:p w14:paraId="7893F7C5" w14:textId="20937137" w:rsidR="00C70C9C" w:rsidRPr="006E063F" w:rsidRDefault="00C70C9C" w:rsidP="00944270">
      <w:pPr>
        <w:pStyle w:val="ListParagraph"/>
        <w:rPr>
          <w:b/>
          <w:sz w:val="20"/>
          <w:szCs w:val="20"/>
        </w:rPr>
      </w:pPr>
    </w:p>
    <w:p w14:paraId="5F953035" w14:textId="77777777" w:rsidR="00C70C9C" w:rsidRDefault="00C70C9C" w:rsidP="00C70C9C"/>
    <w:p w14:paraId="796753F7" w14:textId="77777777" w:rsidR="00C70C9C" w:rsidRDefault="00C70C9C" w:rsidP="00C70C9C"/>
    <w:p w14:paraId="0C0D2E75" w14:textId="77777777" w:rsidR="00C70C9C" w:rsidRDefault="00C70C9C" w:rsidP="00C70C9C"/>
    <w:p w14:paraId="70BBFE91" w14:textId="77777777" w:rsidR="00C70C9C" w:rsidRDefault="00C70C9C" w:rsidP="00C70C9C"/>
    <w:p w14:paraId="46371567" w14:textId="77777777" w:rsidR="00FB4A11" w:rsidRDefault="00FB4A11" w:rsidP="00C70C9C"/>
    <w:p w14:paraId="7721E620" w14:textId="77777777" w:rsidR="008138A9" w:rsidRDefault="008138A9" w:rsidP="00C70C9C">
      <w:pPr>
        <w:spacing w:line="240" w:lineRule="auto"/>
        <w:rPr>
          <w:sz w:val="16"/>
          <w:szCs w:val="16"/>
        </w:rPr>
      </w:pPr>
    </w:p>
    <w:p w14:paraId="6A8657BA" w14:textId="77777777" w:rsidR="008138A9" w:rsidRDefault="008138A9" w:rsidP="00C70C9C">
      <w:pPr>
        <w:spacing w:line="240" w:lineRule="auto"/>
        <w:rPr>
          <w:sz w:val="16"/>
          <w:szCs w:val="16"/>
        </w:rPr>
      </w:pPr>
    </w:p>
    <w:p w14:paraId="3EE06F62" w14:textId="77777777" w:rsidR="008138A9" w:rsidRDefault="008138A9" w:rsidP="00C70C9C">
      <w:pPr>
        <w:spacing w:line="240" w:lineRule="auto"/>
        <w:rPr>
          <w:sz w:val="16"/>
          <w:szCs w:val="16"/>
        </w:rPr>
      </w:pPr>
    </w:p>
    <w:p w14:paraId="431DE342" w14:textId="77777777" w:rsidR="000D6AAA" w:rsidRPr="000B131E" w:rsidRDefault="00C70C9C" w:rsidP="00C70C9C">
      <w:pPr>
        <w:spacing w:line="240" w:lineRule="auto"/>
        <w:rPr>
          <w:sz w:val="16"/>
          <w:szCs w:val="16"/>
        </w:rPr>
      </w:pPr>
      <w:r w:rsidRPr="000B131E">
        <w:rPr>
          <w:sz w:val="16"/>
          <w:szCs w:val="16"/>
        </w:rPr>
        <w:t>This assessment and the recommendations contained herein are based on the data provided by the system and on onsite observations and data obtained through research conducted by the assessor. All sources of said research data have been cited where possible. This assessment is an attempt by the assessor herein to use all data as provided, and to obtain any available supporting data, to determine the electrical usage of the components herein described and to calculate potential energy and cost savings based upon said data. The assessor herein does not assume any responsibility for the reliability of said data or of its source, and hereby disclaims responsibility for the accuracy of said data. The Texas Rural Water Association, its parent organization and subsidiaries, as well as the United States Department of Agriculture Rural Development Agency and its parent and subsidiaries, hereby also disclaim any responsibility for the accuracy of said data used in the preparation of this assessment.</w:t>
      </w:r>
    </w:p>
    <w:sectPr w:rsidR="000D6AAA" w:rsidRPr="000B131E">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8A954" w14:textId="77777777" w:rsidR="00DC5CDB" w:rsidRDefault="00DC5CDB" w:rsidP="000D6AAA">
      <w:pPr>
        <w:spacing w:after="0" w:line="240" w:lineRule="auto"/>
      </w:pPr>
      <w:r>
        <w:separator/>
      </w:r>
    </w:p>
  </w:endnote>
  <w:endnote w:type="continuationSeparator" w:id="0">
    <w:p w14:paraId="730ABFD5" w14:textId="77777777" w:rsidR="00DC5CDB" w:rsidRDefault="00DC5CDB" w:rsidP="000D6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303496"/>
      <w:docPartObj>
        <w:docPartGallery w:val="Page Numbers (Bottom of Page)"/>
        <w:docPartUnique/>
      </w:docPartObj>
    </w:sdtPr>
    <w:sdtEndPr>
      <w:rPr>
        <w:noProof/>
      </w:rPr>
    </w:sdtEndPr>
    <w:sdtContent>
      <w:p w14:paraId="3D68ADC8" w14:textId="77777777" w:rsidR="005956B5" w:rsidRDefault="005956B5">
        <w:pPr>
          <w:pStyle w:val="Footer"/>
        </w:pPr>
        <w:r>
          <w:fldChar w:fldCharType="begin"/>
        </w:r>
        <w:r>
          <w:instrText xml:space="preserve"> PAGE   \* MERGEFORMAT </w:instrText>
        </w:r>
        <w:r>
          <w:fldChar w:fldCharType="separate"/>
        </w:r>
        <w:r w:rsidR="00582985">
          <w:rPr>
            <w:noProof/>
          </w:rPr>
          <w:t>1</w:t>
        </w:r>
        <w:r>
          <w:rPr>
            <w:noProof/>
          </w:rPr>
          <w:fldChar w:fldCharType="end"/>
        </w:r>
      </w:p>
    </w:sdtContent>
  </w:sdt>
  <w:p w14:paraId="73DF9B88" w14:textId="77777777" w:rsidR="005956B5" w:rsidRDefault="00595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6D55A" w14:textId="77777777" w:rsidR="00DC5CDB" w:rsidRDefault="00DC5CDB" w:rsidP="000D6AAA">
      <w:pPr>
        <w:spacing w:after="0" w:line="240" w:lineRule="auto"/>
      </w:pPr>
      <w:r>
        <w:separator/>
      </w:r>
    </w:p>
  </w:footnote>
  <w:footnote w:type="continuationSeparator" w:id="0">
    <w:p w14:paraId="540767C5" w14:textId="77777777" w:rsidR="00DC5CDB" w:rsidRDefault="00DC5CDB" w:rsidP="000D6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095"/>
    <w:multiLevelType w:val="hybridMultilevel"/>
    <w:tmpl w:val="B1B63286"/>
    <w:lvl w:ilvl="0" w:tplc="ABA8E2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E46167"/>
    <w:multiLevelType w:val="hybridMultilevel"/>
    <w:tmpl w:val="6E063F0E"/>
    <w:lvl w:ilvl="0" w:tplc="63A8A5A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56394C"/>
    <w:multiLevelType w:val="hybridMultilevel"/>
    <w:tmpl w:val="DE4A6BEC"/>
    <w:lvl w:ilvl="0" w:tplc="FAB0BB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BD200E"/>
    <w:multiLevelType w:val="hybridMultilevel"/>
    <w:tmpl w:val="C4965780"/>
    <w:lvl w:ilvl="0" w:tplc="403CB3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13C6"/>
    <w:multiLevelType w:val="hybridMultilevel"/>
    <w:tmpl w:val="7628548C"/>
    <w:lvl w:ilvl="0" w:tplc="B374DFD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7CD6837"/>
    <w:multiLevelType w:val="hybridMultilevel"/>
    <w:tmpl w:val="FE5CB7D8"/>
    <w:lvl w:ilvl="0" w:tplc="C1FC5B4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8E84B96"/>
    <w:multiLevelType w:val="hybridMultilevel"/>
    <w:tmpl w:val="DC5A0598"/>
    <w:lvl w:ilvl="0" w:tplc="28F0022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E9170E5"/>
    <w:multiLevelType w:val="hybridMultilevel"/>
    <w:tmpl w:val="851ABCB0"/>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10B070AC"/>
    <w:multiLevelType w:val="hybridMultilevel"/>
    <w:tmpl w:val="46B60D4E"/>
    <w:lvl w:ilvl="0" w:tplc="A964E89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4D6698"/>
    <w:multiLevelType w:val="hybridMultilevel"/>
    <w:tmpl w:val="4A203194"/>
    <w:lvl w:ilvl="0" w:tplc="C1FC5B4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18F504A"/>
    <w:multiLevelType w:val="hybridMultilevel"/>
    <w:tmpl w:val="DBCCAE1C"/>
    <w:lvl w:ilvl="0" w:tplc="676E43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03457"/>
    <w:multiLevelType w:val="hybridMultilevel"/>
    <w:tmpl w:val="CCE6374E"/>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16003C03"/>
    <w:multiLevelType w:val="hybridMultilevel"/>
    <w:tmpl w:val="FF482F64"/>
    <w:lvl w:ilvl="0" w:tplc="738AF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953EE"/>
    <w:multiLevelType w:val="hybridMultilevel"/>
    <w:tmpl w:val="B7C4624E"/>
    <w:lvl w:ilvl="0" w:tplc="E95E783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9772880"/>
    <w:multiLevelType w:val="hybridMultilevel"/>
    <w:tmpl w:val="6526DDD4"/>
    <w:lvl w:ilvl="0" w:tplc="F19EC0B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A113597"/>
    <w:multiLevelType w:val="hybridMultilevel"/>
    <w:tmpl w:val="3C448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3E1A94"/>
    <w:multiLevelType w:val="hybridMultilevel"/>
    <w:tmpl w:val="2A9C1058"/>
    <w:lvl w:ilvl="0" w:tplc="028284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784583"/>
    <w:multiLevelType w:val="hybridMultilevel"/>
    <w:tmpl w:val="40B829D8"/>
    <w:lvl w:ilvl="0" w:tplc="1AB4E1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0BC15A7"/>
    <w:multiLevelType w:val="hybridMultilevel"/>
    <w:tmpl w:val="48623994"/>
    <w:lvl w:ilvl="0" w:tplc="7136929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4E64107"/>
    <w:multiLevelType w:val="hybridMultilevel"/>
    <w:tmpl w:val="D8A49942"/>
    <w:lvl w:ilvl="0" w:tplc="66A40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58638DC"/>
    <w:multiLevelType w:val="hybridMultilevel"/>
    <w:tmpl w:val="B5DE8AD4"/>
    <w:lvl w:ilvl="0" w:tplc="01C64B1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6541049"/>
    <w:multiLevelType w:val="hybridMultilevel"/>
    <w:tmpl w:val="35D237D8"/>
    <w:lvl w:ilvl="0" w:tplc="FE38658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87E1A44"/>
    <w:multiLevelType w:val="hybridMultilevel"/>
    <w:tmpl w:val="EDA6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C85DF2"/>
    <w:multiLevelType w:val="hybridMultilevel"/>
    <w:tmpl w:val="32D4460E"/>
    <w:lvl w:ilvl="0" w:tplc="8D98A20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2EEF4783"/>
    <w:multiLevelType w:val="hybridMultilevel"/>
    <w:tmpl w:val="7F6E3314"/>
    <w:lvl w:ilvl="0" w:tplc="ECC870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12F1C25"/>
    <w:multiLevelType w:val="hybridMultilevel"/>
    <w:tmpl w:val="7FB02B3C"/>
    <w:lvl w:ilvl="0" w:tplc="5A24B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48A3F0E"/>
    <w:multiLevelType w:val="hybridMultilevel"/>
    <w:tmpl w:val="96F6E306"/>
    <w:lvl w:ilvl="0" w:tplc="404045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54D0C11"/>
    <w:multiLevelType w:val="hybridMultilevel"/>
    <w:tmpl w:val="961E9EFE"/>
    <w:lvl w:ilvl="0" w:tplc="11B81C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CC018A"/>
    <w:multiLevelType w:val="hybridMultilevel"/>
    <w:tmpl w:val="1E04ED7A"/>
    <w:lvl w:ilvl="0" w:tplc="A97A1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8E70E1"/>
    <w:multiLevelType w:val="hybridMultilevel"/>
    <w:tmpl w:val="68609A2A"/>
    <w:lvl w:ilvl="0" w:tplc="A2A4F7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D4D6BDD"/>
    <w:multiLevelType w:val="hybridMultilevel"/>
    <w:tmpl w:val="8234A5C6"/>
    <w:lvl w:ilvl="0" w:tplc="93BC23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FC94BB6"/>
    <w:multiLevelType w:val="hybridMultilevel"/>
    <w:tmpl w:val="E94ED932"/>
    <w:lvl w:ilvl="0" w:tplc="C7E4FB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22B2BD5"/>
    <w:multiLevelType w:val="hybridMultilevel"/>
    <w:tmpl w:val="F51608C2"/>
    <w:lvl w:ilvl="0" w:tplc="6B225F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0F5B44"/>
    <w:multiLevelType w:val="hybridMultilevel"/>
    <w:tmpl w:val="CCE6374E"/>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4CDB2E32"/>
    <w:multiLevelType w:val="hybridMultilevel"/>
    <w:tmpl w:val="1D7A1EBA"/>
    <w:lvl w:ilvl="0" w:tplc="C2E8BC5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CE53137"/>
    <w:multiLevelType w:val="hybridMultilevel"/>
    <w:tmpl w:val="2F46F484"/>
    <w:lvl w:ilvl="0" w:tplc="FAF416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2222291"/>
    <w:multiLevelType w:val="hybridMultilevel"/>
    <w:tmpl w:val="0C30D5F4"/>
    <w:lvl w:ilvl="0" w:tplc="8C843D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43F2AB2"/>
    <w:multiLevelType w:val="hybridMultilevel"/>
    <w:tmpl w:val="9BCC57A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5D846AE5"/>
    <w:multiLevelType w:val="hybridMultilevel"/>
    <w:tmpl w:val="B404909A"/>
    <w:lvl w:ilvl="0" w:tplc="8662F7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F406A23"/>
    <w:multiLevelType w:val="hybridMultilevel"/>
    <w:tmpl w:val="4A203194"/>
    <w:lvl w:ilvl="0" w:tplc="C1FC5B4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F6B5DC0"/>
    <w:multiLevelType w:val="hybridMultilevel"/>
    <w:tmpl w:val="C99620D0"/>
    <w:lvl w:ilvl="0" w:tplc="D79E4A4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0793F4C"/>
    <w:multiLevelType w:val="hybridMultilevel"/>
    <w:tmpl w:val="3B00E496"/>
    <w:lvl w:ilvl="0" w:tplc="752A69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BFB400C"/>
    <w:multiLevelType w:val="hybridMultilevel"/>
    <w:tmpl w:val="CAA4894E"/>
    <w:lvl w:ilvl="0" w:tplc="08B44D8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6C5015E3"/>
    <w:multiLevelType w:val="hybridMultilevel"/>
    <w:tmpl w:val="C0E2484A"/>
    <w:lvl w:ilvl="0" w:tplc="8DAEDD6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A085DC2"/>
    <w:multiLevelType w:val="hybridMultilevel"/>
    <w:tmpl w:val="E60AC3B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7E0D1545"/>
    <w:multiLevelType w:val="hybridMultilevel"/>
    <w:tmpl w:val="2F46F48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141800494">
    <w:abstractNumId w:val="15"/>
  </w:num>
  <w:num w:numId="2" w16cid:durableId="1707297078">
    <w:abstractNumId w:val="22"/>
  </w:num>
  <w:num w:numId="3" w16cid:durableId="408383342">
    <w:abstractNumId w:val="27"/>
  </w:num>
  <w:num w:numId="4" w16cid:durableId="2061781241">
    <w:abstractNumId w:val="36"/>
  </w:num>
  <w:num w:numId="5" w16cid:durableId="736899841">
    <w:abstractNumId w:val="26"/>
  </w:num>
  <w:num w:numId="6" w16cid:durableId="1898544968">
    <w:abstractNumId w:val="17"/>
  </w:num>
  <w:num w:numId="7" w16cid:durableId="314846708">
    <w:abstractNumId w:val="6"/>
  </w:num>
  <w:num w:numId="8" w16cid:durableId="1120878153">
    <w:abstractNumId w:val="13"/>
  </w:num>
  <w:num w:numId="9" w16cid:durableId="1030881335">
    <w:abstractNumId w:val="14"/>
  </w:num>
  <w:num w:numId="10" w16cid:durableId="1778795380">
    <w:abstractNumId w:val="40"/>
  </w:num>
  <w:num w:numId="11" w16cid:durableId="345837507">
    <w:abstractNumId w:val="34"/>
  </w:num>
  <w:num w:numId="12" w16cid:durableId="1650280512">
    <w:abstractNumId w:val="23"/>
  </w:num>
  <w:num w:numId="13" w16cid:durableId="33502492">
    <w:abstractNumId w:val="39"/>
  </w:num>
  <w:num w:numId="14" w16cid:durableId="1369640588">
    <w:abstractNumId w:val="3"/>
  </w:num>
  <w:num w:numId="15" w16cid:durableId="1444810103">
    <w:abstractNumId w:val="18"/>
  </w:num>
  <w:num w:numId="16" w16cid:durableId="391778681">
    <w:abstractNumId w:val="10"/>
  </w:num>
  <w:num w:numId="17" w16cid:durableId="1834565999">
    <w:abstractNumId w:val="43"/>
  </w:num>
  <w:num w:numId="18" w16cid:durableId="1792170624">
    <w:abstractNumId w:val="31"/>
  </w:num>
  <w:num w:numId="19" w16cid:durableId="1916233400">
    <w:abstractNumId w:val="4"/>
  </w:num>
  <w:num w:numId="20" w16cid:durableId="135150841">
    <w:abstractNumId w:val="5"/>
  </w:num>
  <w:num w:numId="21" w16cid:durableId="200673305">
    <w:abstractNumId w:val="9"/>
  </w:num>
  <w:num w:numId="22" w16cid:durableId="1408769141">
    <w:abstractNumId w:val="28"/>
  </w:num>
  <w:num w:numId="23" w16cid:durableId="1186745621">
    <w:abstractNumId w:val="20"/>
  </w:num>
  <w:num w:numId="24" w16cid:durableId="1748721708">
    <w:abstractNumId w:val="8"/>
  </w:num>
  <w:num w:numId="25" w16cid:durableId="866717427">
    <w:abstractNumId w:val="35"/>
  </w:num>
  <w:num w:numId="26" w16cid:durableId="1968390741">
    <w:abstractNumId w:val="38"/>
  </w:num>
  <w:num w:numId="27" w16cid:durableId="682899624">
    <w:abstractNumId w:val="25"/>
  </w:num>
  <w:num w:numId="28" w16cid:durableId="1008170415">
    <w:abstractNumId w:val="12"/>
  </w:num>
  <w:num w:numId="29" w16cid:durableId="159197258">
    <w:abstractNumId w:val="30"/>
  </w:num>
  <w:num w:numId="30" w16cid:durableId="871184052">
    <w:abstractNumId w:val="41"/>
  </w:num>
  <w:num w:numId="31" w16cid:durableId="25952913">
    <w:abstractNumId w:val="29"/>
  </w:num>
  <w:num w:numId="32" w16cid:durableId="67312583">
    <w:abstractNumId w:val="42"/>
  </w:num>
  <w:num w:numId="33" w16cid:durableId="2108309808">
    <w:abstractNumId w:val="1"/>
  </w:num>
  <w:num w:numId="34" w16cid:durableId="1053654968">
    <w:abstractNumId w:val="19"/>
  </w:num>
  <w:num w:numId="35" w16cid:durableId="165946488">
    <w:abstractNumId w:val="0"/>
  </w:num>
  <w:num w:numId="36" w16cid:durableId="738094332">
    <w:abstractNumId w:val="32"/>
  </w:num>
  <w:num w:numId="37" w16cid:durableId="835417315">
    <w:abstractNumId w:val="24"/>
  </w:num>
  <w:num w:numId="38" w16cid:durableId="1972704138">
    <w:abstractNumId w:val="2"/>
  </w:num>
  <w:num w:numId="39" w16cid:durableId="2136369148">
    <w:abstractNumId w:val="21"/>
  </w:num>
  <w:num w:numId="40" w16cid:durableId="1189683654">
    <w:abstractNumId w:val="7"/>
  </w:num>
  <w:num w:numId="41" w16cid:durableId="956987190">
    <w:abstractNumId w:val="11"/>
  </w:num>
  <w:num w:numId="42" w16cid:durableId="682779620">
    <w:abstractNumId w:val="37"/>
  </w:num>
  <w:num w:numId="43" w16cid:durableId="380132342">
    <w:abstractNumId w:val="44"/>
  </w:num>
  <w:num w:numId="44" w16cid:durableId="531839988">
    <w:abstractNumId w:val="45"/>
  </w:num>
  <w:num w:numId="45" w16cid:durableId="135878932">
    <w:abstractNumId w:val="33"/>
  </w:num>
  <w:num w:numId="46" w16cid:durableId="8171837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ktW6I/kHvzudcirjlEmKz0+17nyP85pE65NLvMnkWP1AVChjhJiE8KVAReq7hoqXv0INDCtiXsx6BS7xjVcJrw==" w:salt="7Eej/6Tzopj3Ef186Tqp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5B"/>
    <w:rsid w:val="000045C9"/>
    <w:rsid w:val="00006597"/>
    <w:rsid w:val="00007D3E"/>
    <w:rsid w:val="00010CA2"/>
    <w:rsid w:val="000156F9"/>
    <w:rsid w:val="0002426C"/>
    <w:rsid w:val="00026014"/>
    <w:rsid w:val="00033AA6"/>
    <w:rsid w:val="000347E0"/>
    <w:rsid w:val="000362BF"/>
    <w:rsid w:val="00043748"/>
    <w:rsid w:val="00050DDC"/>
    <w:rsid w:val="00056C2F"/>
    <w:rsid w:val="0006075F"/>
    <w:rsid w:val="00067E9E"/>
    <w:rsid w:val="00073D33"/>
    <w:rsid w:val="00075B92"/>
    <w:rsid w:val="00091734"/>
    <w:rsid w:val="000A7BAB"/>
    <w:rsid w:val="000B131E"/>
    <w:rsid w:val="000D6AAA"/>
    <w:rsid w:val="000E64CF"/>
    <w:rsid w:val="000F107A"/>
    <w:rsid w:val="000F7AB3"/>
    <w:rsid w:val="001011EC"/>
    <w:rsid w:val="001020BE"/>
    <w:rsid w:val="00102E6D"/>
    <w:rsid w:val="0010391C"/>
    <w:rsid w:val="001051FD"/>
    <w:rsid w:val="0011397E"/>
    <w:rsid w:val="001257BC"/>
    <w:rsid w:val="001364B0"/>
    <w:rsid w:val="00137B8B"/>
    <w:rsid w:val="00146CD5"/>
    <w:rsid w:val="00150396"/>
    <w:rsid w:val="001527B3"/>
    <w:rsid w:val="001532B2"/>
    <w:rsid w:val="001577AE"/>
    <w:rsid w:val="0016061A"/>
    <w:rsid w:val="0017074F"/>
    <w:rsid w:val="00172640"/>
    <w:rsid w:val="00192208"/>
    <w:rsid w:val="00192538"/>
    <w:rsid w:val="00192BE3"/>
    <w:rsid w:val="00197EFE"/>
    <w:rsid w:val="001C36E1"/>
    <w:rsid w:val="001D5DE9"/>
    <w:rsid w:val="001D795E"/>
    <w:rsid w:val="001E4714"/>
    <w:rsid w:val="001E5A74"/>
    <w:rsid w:val="001E632D"/>
    <w:rsid w:val="001F1FE4"/>
    <w:rsid w:val="001F4810"/>
    <w:rsid w:val="001F6A9A"/>
    <w:rsid w:val="00202991"/>
    <w:rsid w:val="00211C4F"/>
    <w:rsid w:val="0021479C"/>
    <w:rsid w:val="00217F3C"/>
    <w:rsid w:val="002232A4"/>
    <w:rsid w:val="0022646C"/>
    <w:rsid w:val="002272CF"/>
    <w:rsid w:val="00234FA9"/>
    <w:rsid w:val="002543C7"/>
    <w:rsid w:val="002558DB"/>
    <w:rsid w:val="0026289B"/>
    <w:rsid w:val="0026489D"/>
    <w:rsid w:val="00265F03"/>
    <w:rsid w:val="0026636E"/>
    <w:rsid w:val="0028449C"/>
    <w:rsid w:val="00287954"/>
    <w:rsid w:val="002C1139"/>
    <w:rsid w:val="002C1863"/>
    <w:rsid w:val="002C249C"/>
    <w:rsid w:val="002E0F5D"/>
    <w:rsid w:val="002E19D1"/>
    <w:rsid w:val="002E33CB"/>
    <w:rsid w:val="002E574C"/>
    <w:rsid w:val="002F6FD9"/>
    <w:rsid w:val="00300D57"/>
    <w:rsid w:val="003067FC"/>
    <w:rsid w:val="00310858"/>
    <w:rsid w:val="003109C7"/>
    <w:rsid w:val="003111EC"/>
    <w:rsid w:val="0031704B"/>
    <w:rsid w:val="0032425B"/>
    <w:rsid w:val="00326F3C"/>
    <w:rsid w:val="00337AF8"/>
    <w:rsid w:val="00363231"/>
    <w:rsid w:val="00364988"/>
    <w:rsid w:val="00365D75"/>
    <w:rsid w:val="003700B5"/>
    <w:rsid w:val="003717CA"/>
    <w:rsid w:val="00375BD7"/>
    <w:rsid w:val="0038200B"/>
    <w:rsid w:val="0038430C"/>
    <w:rsid w:val="00391FDF"/>
    <w:rsid w:val="00392774"/>
    <w:rsid w:val="003A50E6"/>
    <w:rsid w:val="003B16EF"/>
    <w:rsid w:val="003B2795"/>
    <w:rsid w:val="003B2C00"/>
    <w:rsid w:val="003B454B"/>
    <w:rsid w:val="003C5E9E"/>
    <w:rsid w:val="003C6487"/>
    <w:rsid w:val="003C68C5"/>
    <w:rsid w:val="003D3DDE"/>
    <w:rsid w:val="003D69BC"/>
    <w:rsid w:val="003E073E"/>
    <w:rsid w:val="003E1592"/>
    <w:rsid w:val="003E4B02"/>
    <w:rsid w:val="003F05ED"/>
    <w:rsid w:val="003F299D"/>
    <w:rsid w:val="003F31BC"/>
    <w:rsid w:val="00402473"/>
    <w:rsid w:val="00402819"/>
    <w:rsid w:val="00405B98"/>
    <w:rsid w:val="00407AE3"/>
    <w:rsid w:val="00411846"/>
    <w:rsid w:val="004149E7"/>
    <w:rsid w:val="00420B43"/>
    <w:rsid w:val="004263DA"/>
    <w:rsid w:val="00427728"/>
    <w:rsid w:val="00435693"/>
    <w:rsid w:val="00440AC2"/>
    <w:rsid w:val="00442EE5"/>
    <w:rsid w:val="00451B8A"/>
    <w:rsid w:val="004527CC"/>
    <w:rsid w:val="00453A2F"/>
    <w:rsid w:val="00457B7C"/>
    <w:rsid w:val="00463E9A"/>
    <w:rsid w:val="004709C2"/>
    <w:rsid w:val="00473586"/>
    <w:rsid w:val="004805F4"/>
    <w:rsid w:val="00487854"/>
    <w:rsid w:val="00495F48"/>
    <w:rsid w:val="004A1120"/>
    <w:rsid w:val="004A2246"/>
    <w:rsid w:val="004A4FD4"/>
    <w:rsid w:val="004A5DA8"/>
    <w:rsid w:val="004A7D14"/>
    <w:rsid w:val="004B068D"/>
    <w:rsid w:val="004B72FD"/>
    <w:rsid w:val="004C2B79"/>
    <w:rsid w:val="004C33D2"/>
    <w:rsid w:val="004C5D9C"/>
    <w:rsid w:val="004E04EA"/>
    <w:rsid w:val="004E7432"/>
    <w:rsid w:val="004F3151"/>
    <w:rsid w:val="00500788"/>
    <w:rsid w:val="00504790"/>
    <w:rsid w:val="0051027C"/>
    <w:rsid w:val="005167CE"/>
    <w:rsid w:val="005350CD"/>
    <w:rsid w:val="005413A4"/>
    <w:rsid w:val="005424A2"/>
    <w:rsid w:val="0055120B"/>
    <w:rsid w:val="00551722"/>
    <w:rsid w:val="00556B32"/>
    <w:rsid w:val="00561BE3"/>
    <w:rsid w:val="005631BA"/>
    <w:rsid w:val="00566519"/>
    <w:rsid w:val="00570E52"/>
    <w:rsid w:val="0058218F"/>
    <w:rsid w:val="00582985"/>
    <w:rsid w:val="00585907"/>
    <w:rsid w:val="00595676"/>
    <w:rsid w:val="005956B5"/>
    <w:rsid w:val="005A0A22"/>
    <w:rsid w:val="005B7288"/>
    <w:rsid w:val="005C08AE"/>
    <w:rsid w:val="005C1CDC"/>
    <w:rsid w:val="005C5520"/>
    <w:rsid w:val="005D0E9E"/>
    <w:rsid w:val="005D5EA2"/>
    <w:rsid w:val="005D6C0E"/>
    <w:rsid w:val="005E299F"/>
    <w:rsid w:val="005F21BE"/>
    <w:rsid w:val="005F5561"/>
    <w:rsid w:val="006076C1"/>
    <w:rsid w:val="00611396"/>
    <w:rsid w:val="00626B38"/>
    <w:rsid w:val="00626B86"/>
    <w:rsid w:val="0062741E"/>
    <w:rsid w:val="00634B30"/>
    <w:rsid w:val="006374DC"/>
    <w:rsid w:val="00672FCF"/>
    <w:rsid w:val="00675987"/>
    <w:rsid w:val="00683041"/>
    <w:rsid w:val="00683438"/>
    <w:rsid w:val="00691BDF"/>
    <w:rsid w:val="006A63E0"/>
    <w:rsid w:val="006C1918"/>
    <w:rsid w:val="006C2A3A"/>
    <w:rsid w:val="006C6612"/>
    <w:rsid w:val="006D2399"/>
    <w:rsid w:val="006D2CEB"/>
    <w:rsid w:val="006D4BE4"/>
    <w:rsid w:val="006D75F4"/>
    <w:rsid w:val="006E063F"/>
    <w:rsid w:val="006F26D4"/>
    <w:rsid w:val="006F683D"/>
    <w:rsid w:val="00701C6F"/>
    <w:rsid w:val="00725D15"/>
    <w:rsid w:val="007778E0"/>
    <w:rsid w:val="0078564F"/>
    <w:rsid w:val="007928C7"/>
    <w:rsid w:val="007A6AFD"/>
    <w:rsid w:val="007B5173"/>
    <w:rsid w:val="007B6EDB"/>
    <w:rsid w:val="007C30A4"/>
    <w:rsid w:val="007E622C"/>
    <w:rsid w:val="007E6F99"/>
    <w:rsid w:val="007F7F43"/>
    <w:rsid w:val="00803AAF"/>
    <w:rsid w:val="008129ED"/>
    <w:rsid w:val="008130F5"/>
    <w:rsid w:val="008138A9"/>
    <w:rsid w:val="00821FA9"/>
    <w:rsid w:val="00823435"/>
    <w:rsid w:val="0082660F"/>
    <w:rsid w:val="0083293F"/>
    <w:rsid w:val="00844A3F"/>
    <w:rsid w:val="008463B2"/>
    <w:rsid w:val="00855A48"/>
    <w:rsid w:val="008678BE"/>
    <w:rsid w:val="00871060"/>
    <w:rsid w:val="00871B5B"/>
    <w:rsid w:val="008914C7"/>
    <w:rsid w:val="008957F9"/>
    <w:rsid w:val="008A26B5"/>
    <w:rsid w:val="008A4A2F"/>
    <w:rsid w:val="008B3139"/>
    <w:rsid w:val="008B4E35"/>
    <w:rsid w:val="008C2B0A"/>
    <w:rsid w:val="008C701F"/>
    <w:rsid w:val="008D0371"/>
    <w:rsid w:val="008D2E59"/>
    <w:rsid w:val="008D3993"/>
    <w:rsid w:val="008D5CE2"/>
    <w:rsid w:val="008D6626"/>
    <w:rsid w:val="008D743B"/>
    <w:rsid w:val="008E05E5"/>
    <w:rsid w:val="008E0A04"/>
    <w:rsid w:val="008E5B95"/>
    <w:rsid w:val="008E76D6"/>
    <w:rsid w:val="008F0022"/>
    <w:rsid w:val="008F5426"/>
    <w:rsid w:val="0090108E"/>
    <w:rsid w:val="00901B5E"/>
    <w:rsid w:val="00910741"/>
    <w:rsid w:val="00911919"/>
    <w:rsid w:val="00912E27"/>
    <w:rsid w:val="0091504E"/>
    <w:rsid w:val="009155A4"/>
    <w:rsid w:val="00922AB0"/>
    <w:rsid w:val="009278D5"/>
    <w:rsid w:val="009302A8"/>
    <w:rsid w:val="009353DD"/>
    <w:rsid w:val="0094050E"/>
    <w:rsid w:val="00941B63"/>
    <w:rsid w:val="009420E6"/>
    <w:rsid w:val="00944270"/>
    <w:rsid w:val="00952E94"/>
    <w:rsid w:val="009721A2"/>
    <w:rsid w:val="00972947"/>
    <w:rsid w:val="0097553A"/>
    <w:rsid w:val="00984227"/>
    <w:rsid w:val="009856BC"/>
    <w:rsid w:val="00993862"/>
    <w:rsid w:val="00994940"/>
    <w:rsid w:val="009A798C"/>
    <w:rsid w:val="009B3800"/>
    <w:rsid w:val="009C1A41"/>
    <w:rsid w:val="009C44E9"/>
    <w:rsid w:val="009C60FE"/>
    <w:rsid w:val="009E1870"/>
    <w:rsid w:val="009E2DC9"/>
    <w:rsid w:val="009E4F3F"/>
    <w:rsid w:val="009E630A"/>
    <w:rsid w:val="009F0A2D"/>
    <w:rsid w:val="009F1A6D"/>
    <w:rsid w:val="009F76C8"/>
    <w:rsid w:val="00A03210"/>
    <w:rsid w:val="00A05AF6"/>
    <w:rsid w:val="00A0779E"/>
    <w:rsid w:val="00A1128A"/>
    <w:rsid w:val="00A13262"/>
    <w:rsid w:val="00A2035E"/>
    <w:rsid w:val="00A25D96"/>
    <w:rsid w:val="00A31B9B"/>
    <w:rsid w:val="00A340F0"/>
    <w:rsid w:val="00A52789"/>
    <w:rsid w:val="00A6128D"/>
    <w:rsid w:val="00A64040"/>
    <w:rsid w:val="00A642B9"/>
    <w:rsid w:val="00A64D8C"/>
    <w:rsid w:val="00A6534B"/>
    <w:rsid w:val="00A7764A"/>
    <w:rsid w:val="00A800BF"/>
    <w:rsid w:val="00A86E09"/>
    <w:rsid w:val="00A902B3"/>
    <w:rsid w:val="00A909DB"/>
    <w:rsid w:val="00AA0DE7"/>
    <w:rsid w:val="00AC654D"/>
    <w:rsid w:val="00AC7E61"/>
    <w:rsid w:val="00AD7B20"/>
    <w:rsid w:val="00AE0CBE"/>
    <w:rsid w:val="00AF19A1"/>
    <w:rsid w:val="00AF36EE"/>
    <w:rsid w:val="00AF7BD7"/>
    <w:rsid w:val="00B01D31"/>
    <w:rsid w:val="00B04A82"/>
    <w:rsid w:val="00B04AAB"/>
    <w:rsid w:val="00B064D4"/>
    <w:rsid w:val="00B07F83"/>
    <w:rsid w:val="00B101E3"/>
    <w:rsid w:val="00B12371"/>
    <w:rsid w:val="00B34FF2"/>
    <w:rsid w:val="00B37961"/>
    <w:rsid w:val="00B43B1D"/>
    <w:rsid w:val="00B53E30"/>
    <w:rsid w:val="00B60F19"/>
    <w:rsid w:val="00B7404E"/>
    <w:rsid w:val="00B77831"/>
    <w:rsid w:val="00B95F00"/>
    <w:rsid w:val="00B97222"/>
    <w:rsid w:val="00BB0A29"/>
    <w:rsid w:val="00BB5FF4"/>
    <w:rsid w:val="00BB6DB9"/>
    <w:rsid w:val="00BC2170"/>
    <w:rsid w:val="00BC37A6"/>
    <w:rsid w:val="00BD183D"/>
    <w:rsid w:val="00BE14B6"/>
    <w:rsid w:val="00BE2FC9"/>
    <w:rsid w:val="00BE559E"/>
    <w:rsid w:val="00BE6438"/>
    <w:rsid w:val="00BE7DD0"/>
    <w:rsid w:val="00BF605F"/>
    <w:rsid w:val="00BF6B26"/>
    <w:rsid w:val="00C00238"/>
    <w:rsid w:val="00C11F8A"/>
    <w:rsid w:val="00C13BBC"/>
    <w:rsid w:val="00C223C8"/>
    <w:rsid w:val="00C2396B"/>
    <w:rsid w:val="00C26E80"/>
    <w:rsid w:val="00C32A3B"/>
    <w:rsid w:val="00C32ED2"/>
    <w:rsid w:val="00C42BF9"/>
    <w:rsid w:val="00C474D4"/>
    <w:rsid w:val="00C64541"/>
    <w:rsid w:val="00C70C9C"/>
    <w:rsid w:val="00C70FC3"/>
    <w:rsid w:val="00C711C7"/>
    <w:rsid w:val="00C8432C"/>
    <w:rsid w:val="00C86275"/>
    <w:rsid w:val="00C9272B"/>
    <w:rsid w:val="00CB229A"/>
    <w:rsid w:val="00CB7335"/>
    <w:rsid w:val="00CC0013"/>
    <w:rsid w:val="00CC76DB"/>
    <w:rsid w:val="00CD0651"/>
    <w:rsid w:val="00CD0E30"/>
    <w:rsid w:val="00CD3FA1"/>
    <w:rsid w:val="00CE00AC"/>
    <w:rsid w:val="00CE01D3"/>
    <w:rsid w:val="00CE27DB"/>
    <w:rsid w:val="00CE6DA1"/>
    <w:rsid w:val="00CF4867"/>
    <w:rsid w:val="00D12A5F"/>
    <w:rsid w:val="00D210FC"/>
    <w:rsid w:val="00D216B8"/>
    <w:rsid w:val="00D236A0"/>
    <w:rsid w:val="00D35776"/>
    <w:rsid w:val="00D578FC"/>
    <w:rsid w:val="00D61707"/>
    <w:rsid w:val="00D738CC"/>
    <w:rsid w:val="00D74B81"/>
    <w:rsid w:val="00D83B0C"/>
    <w:rsid w:val="00D87203"/>
    <w:rsid w:val="00D978F8"/>
    <w:rsid w:val="00DA6824"/>
    <w:rsid w:val="00DA6D8B"/>
    <w:rsid w:val="00DB4A61"/>
    <w:rsid w:val="00DB6AC3"/>
    <w:rsid w:val="00DC5CDB"/>
    <w:rsid w:val="00DD5CEB"/>
    <w:rsid w:val="00DD5EE7"/>
    <w:rsid w:val="00DE1630"/>
    <w:rsid w:val="00DE2131"/>
    <w:rsid w:val="00DE350D"/>
    <w:rsid w:val="00DE6C25"/>
    <w:rsid w:val="00DF30EB"/>
    <w:rsid w:val="00DF6805"/>
    <w:rsid w:val="00E15905"/>
    <w:rsid w:val="00E15AC8"/>
    <w:rsid w:val="00E311C1"/>
    <w:rsid w:val="00E35A88"/>
    <w:rsid w:val="00E4390F"/>
    <w:rsid w:val="00E44DA5"/>
    <w:rsid w:val="00E46E23"/>
    <w:rsid w:val="00E5182C"/>
    <w:rsid w:val="00E5506B"/>
    <w:rsid w:val="00E6163C"/>
    <w:rsid w:val="00E64675"/>
    <w:rsid w:val="00E66D4F"/>
    <w:rsid w:val="00E70F35"/>
    <w:rsid w:val="00E7192A"/>
    <w:rsid w:val="00E82FFE"/>
    <w:rsid w:val="00E86407"/>
    <w:rsid w:val="00E91A85"/>
    <w:rsid w:val="00E97CCC"/>
    <w:rsid w:val="00ED0526"/>
    <w:rsid w:val="00ED3683"/>
    <w:rsid w:val="00EE2AD3"/>
    <w:rsid w:val="00EF10ED"/>
    <w:rsid w:val="00EF39FE"/>
    <w:rsid w:val="00EF50BA"/>
    <w:rsid w:val="00F13196"/>
    <w:rsid w:val="00F15B0B"/>
    <w:rsid w:val="00F16E6E"/>
    <w:rsid w:val="00F25EE9"/>
    <w:rsid w:val="00F3165E"/>
    <w:rsid w:val="00F341E2"/>
    <w:rsid w:val="00F34767"/>
    <w:rsid w:val="00F34ABD"/>
    <w:rsid w:val="00F43977"/>
    <w:rsid w:val="00F50DB8"/>
    <w:rsid w:val="00F56515"/>
    <w:rsid w:val="00F60872"/>
    <w:rsid w:val="00F6437D"/>
    <w:rsid w:val="00F86F29"/>
    <w:rsid w:val="00F90677"/>
    <w:rsid w:val="00F9393A"/>
    <w:rsid w:val="00F93EBD"/>
    <w:rsid w:val="00F97006"/>
    <w:rsid w:val="00FA6054"/>
    <w:rsid w:val="00FA6D87"/>
    <w:rsid w:val="00FB2025"/>
    <w:rsid w:val="00FB3306"/>
    <w:rsid w:val="00FB4A11"/>
    <w:rsid w:val="00FC1F1F"/>
    <w:rsid w:val="00FC5BB9"/>
    <w:rsid w:val="00FD1F41"/>
    <w:rsid w:val="00FE43E8"/>
    <w:rsid w:val="00FE561C"/>
    <w:rsid w:val="00FE6819"/>
    <w:rsid w:val="00FF1947"/>
    <w:rsid w:val="00FF38C8"/>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A2AD"/>
  <w15:docId w15:val="{3BC2DEA0-1381-43EA-8F1F-12CF47DB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07A"/>
    <w:rPr>
      <w:rFonts w:ascii="Segoe UI" w:hAnsi="Segoe UI" w:cs="Segoe UI"/>
      <w:sz w:val="18"/>
      <w:szCs w:val="18"/>
    </w:rPr>
  </w:style>
  <w:style w:type="paragraph" w:styleId="ListParagraph">
    <w:name w:val="List Paragraph"/>
    <w:basedOn w:val="Normal"/>
    <w:uiPriority w:val="34"/>
    <w:qFormat/>
    <w:rsid w:val="00E5506B"/>
    <w:pPr>
      <w:ind w:left="720"/>
      <w:contextualSpacing/>
    </w:pPr>
  </w:style>
  <w:style w:type="paragraph" w:styleId="Header">
    <w:name w:val="header"/>
    <w:basedOn w:val="Normal"/>
    <w:link w:val="HeaderChar"/>
    <w:uiPriority w:val="99"/>
    <w:unhideWhenUsed/>
    <w:rsid w:val="000D6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AAA"/>
  </w:style>
  <w:style w:type="paragraph" w:styleId="Footer">
    <w:name w:val="footer"/>
    <w:basedOn w:val="Normal"/>
    <w:link w:val="FooterChar"/>
    <w:uiPriority w:val="99"/>
    <w:unhideWhenUsed/>
    <w:rsid w:val="000D6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AAA"/>
  </w:style>
  <w:style w:type="paragraph" w:styleId="NoSpacing">
    <w:name w:val="No Spacing"/>
    <w:uiPriority w:val="1"/>
    <w:qFormat/>
    <w:rsid w:val="00CE01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d.usda.gov/programs-services/high-energy-cost-grants" TargetMode="External"/><Relationship Id="rId18" Type="http://schemas.openxmlformats.org/officeDocument/2006/relationships/hyperlink" Target="http://www.rd.usda.gov/programs-services/water-waste-disposal-predevelopment-planning-grants" TargetMode="External"/><Relationship Id="rId26" Type="http://schemas.openxmlformats.org/officeDocument/2006/relationships/hyperlink" Target="http://www.twdb.texas.gov/financial/programs/RWAF/index.asp" TargetMode="External"/><Relationship Id="rId3" Type="http://schemas.openxmlformats.org/officeDocument/2006/relationships/styles" Target="styles.xml"/><Relationship Id="rId21" Type="http://schemas.openxmlformats.org/officeDocument/2006/relationships/hyperlink" Target="https://www.tceq.texas.gov/assistance/water/water-and-wastewater-funding-sourc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d.usda.gov/programs-services/energy-efficiency-and-conservation-loan-program" TargetMode="External"/><Relationship Id="rId17" Type="http://schemas.openxmlformats.org/officeDocument/2006/relationships/hyperlink" Target="http://www.rd.usda.gov/programs-services/water-waste-disposal-loan-guarantees" TargetMode="External"/><Relationship Id="rId25" Type="http://schemas.openxmlformats.org/officeDocument/2006/relationships/hyperlink" Target="http://www.twdb.texas.gov/financial/programs/EDAP/index.asp" TargetMode="External"/><Relationship Id="rId33" Type="http://schemas.openxmlformats.org/officeDocument/2006/relationships/hyperlink" Target="http://www.twicc.org/index.html" TargetMode="External"/><Relationship Id="rId2" Type="http://schemas.openxmlformats.org/officeDocument/2006/relationships/numbering" Target="numbering.xml"/><Relationship Id="rId16" Type="http://schemas.openxmlformats.org/officeDocument/2006/relationships/hyperlink" Target="http://www.rd.usda.gov/programs-services/water-waste-disposal-loan-grant-program" TargetMode="External"/><Relationship Id="rId20" Type="http://schemas.openxmlformats.org/officeDocument/2006/relationships/hyperlink" Target="mailto:michael.canales@tx.usda.gov" TargetMode="External"/><Relationship Id="rId29" Type="http://schemas.openxmlformats.org/officeDocument/2006/relationships/hyperlink" Target="http://www.twdb.texas.gov/contact/doc/RWPD_Team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d.usda.gov/programs-services/emergency-community-water-assistance-grants" TargetMode="External"/><Relationship Id="rId24" Type="http://schemas.openxmlformats.org/officeDocument/2006/relationships/image" Target="https://www.tceq.texas.gov/assets/public/sitewide/exit.png" TargetMode="External"/><Relationship Id="rId32" Type="http://schemas.openxmlformats.org/officeDocument/2006/relationships/hyperlink" Target="http://water.epa.gov/grants_funding/dwsrf/" TargetMode="External"/><Relationship Id="rId5" Type="http://schemas.openxmlformats.org/officeDocument/2006/relationships/webSettings" Target="webSettings.xml"/><Relationship Id="rId15" Type="http://schemas.openxmlformats.org/officeDocument/2006/relationships/hyperlink" Target="http://www.rd.usda.gov/programs-services/solid-waste-management-grants" TargetMode="External"/><Relationship Id="rId23" Type="http://schemas.openxmlformats.org/officeDocument/2006/relationships/image" Target="media/image2.png"/><Relationship Id="rId28" Type="http://schemas.openxmlformats.org/officeDocument/2006/relationships/hyperlink" Target="http://www.twdb.texas.gov/swift/projects/index.asp" TargetMode="External"/><Relationship Id="rId36" Type="http://schemas.openxmlformats.org/officeDocument/2006/relationships/theme" Target="theme/theme1.xml"/><Relationship Id="rId10" Type="http://schemas.openxmlformats.org/officeDocument/2006/relationships/hyperlink" Target="http://www.rd.usda.gov/programs-services/electric-infrastructure-loan-loan-guarantee-program" TargetMode="External"/><Relationship Id="rId19" Type="http://schemas.openxmlformats.org/officeDocument/2006/relationships/hyperlink" Target="http://www.rd.usda.gov/programs-services/water-waste-disposal-revolving-loan-funds" TargetMode="External"/><Relationship Id="rId31" Type="http://schemas.openxmlformats.org/officeDocument/2006/relationships/hyperlink" Target="http://water.epa.gov/grants_funding/dwsrf/" TargetMode="External"/><Relationship Id="rId4" Type="http://schemas.openxmlformats.org/officeDocument/2006/relationships/settings" Target="settings.xml"/><Relationship Id="rId9" Type="http://schemas.openxmlformats.org/officeDocument/2006/relationships/hyperlink" Target="http://www.rd.usda.gov/programs-services/denali-commission-high-energy-cost-grants" TargetMode="External"/><Relationship Id="rId14" Type="http://schemas.openxmlformats.org/officeDocument/2006/relationships/hyperlink" Target="http://www.rd.usda.gov/programs-services/rural-economic-development-loan-grant-program" TargetMode="External"/><Relationship Id="rId22" Type="http://schemas.openxmlformats.org/officeDocument/2006/relationships/hyperlink" Target="http://www.twdb.texas.gov/financial/programs/TWDF/index.asp" TargetMode="External"/><Relationship Id="rId27" Type="http://schemas.openxmlformats.org/officeDocument/2006/relationships/hyperlink" Target="http://www.twdb.texas.gov/financial/programs/SPP/index.asp" TargetMode="External"/><Relationship Id="rId30" Type="http://schemas.openxmlformats.org/officeDocument/2006/relationships/hyperlink" Target="http://water.epa.gov/grants_funding/cwsrf/cwsrf_index.cfm" TargetMode="External"/><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Fra2</b:Tag>
    <b:SourceType>InternetSite</b:SourceType>
    <b:Guid>{965B1067-8822-4715-A4F8-92DEA41A5B18}</b:Guid>
    <b:Title>Franklin Electric</b:Title>
    <b:URL>http://www.franklin-electric.de/6-high-efficiency-system/6-high-efficiency-system.aspx?lang=en#Tab1</b:URL>
    <b:RefOrder>2</b:RefOrder>
  </b:Source>
  <b:Source>
    <b:Tag>Cal</b:Tag>
    <b:SourceType>InternetSite</b:SourceType>
    <b:Guid>{01A34A8E-7D7E-41D3-ACA2-C0958C9F1B4B}</b:Guid>
    <b:Title>California Energy Commission</b:Title>
    <b:URL>http://www.energy.ca.gov/process/pubs/vfds.pdf</b:URL>
    <b:RefOrder>1</b:RefOrder>
  </b:Source>
</b:Sources>
</file>

<file path=customXml/itemProps1.xml><?xml version="1.0" encoding="utf-8"?>
<ds:datastoreItem xmlns:ds="http://schemas.openxmlformats.org/officeDocument/2006/customXml" ds:itemID="{336F5FAD-180F-4378-BF10-29230560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2543</Words>
  <Characters>14496</Characters>
  <Application>Microsoft Office Word</Application>
  <DocSecurity>8</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Murphy</dc:creator>
  <cp:lastModifiedBy>Charles Perkins</cp:lastModifiedBy>
  <cp:revision>2</cp:revision>
  <cp:lastPrinted>2024-09-20T16:15:00Z</cp:lastPrinted>
  <dcterms:created xsi:type="dcterms:W3CDTF">2025-05-19T15:47:00Z</dcterms:created>
  <dcterms:modified xsi:type="dcterms:W3CDTF">2025-05-19T15:47:00Z</dcterms:modified>
</cp:coreProperties>
</file>